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3.xml" ContentType="application/vnd.openxmlformats-officedocument.wordprocessingml.header+xml"/>
  <Override PartName="/word/footer21.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3.xml" ContentType="application/vnd.openxmlformats-officedocument.wordprocessingml.footer+xml"/>
  <Override PartName="/word/header26.xml" ContentType="application/vnd.openxmlformats-officedocument.wordprocessingml.header+xml"/>
  <Override PartName="/word/footer24.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9.xml" ContentType="application/vnd.openxmlformats-officedocument.wordprocessingml.header+xml"/>
  <Override PartName="/word/footer22.xml" ContentType="application/vnd.openxmlformats-officedocument.wordprocessingml.footer+xml"/>
  <Override PartName="/word/header30.xml" ContentType="application/vnd.openxmlformats-officedocument.wordprocessingml.header+xml"/>
  <Override PartName="/word/footer2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12362" w:rsidR="00C958B6" w:rsidP="00512362" w:rsidRDefault="00C958B6" w14:paraId="27B93625" w14:textId="77777777">
      <w:pPr>
        <w:pStyle w:val="FootnoteText"/>
        <w:spacing w:before="120" w:after="120"/>
        <w:rPr>
          <w:rFonts w:ascii="Arial" w:hAnsi="Arial" w:cs="Arial"/>
          <w:spacing w:val="6"/>
        </w:rPr>
      </w:pPr>
    </w:p>
    <w:p w:rsidRPr="00B71D5E" w:rsidR="00530873" w:rsidP="00B71D5E" w:rsidRDefault="00530873" w14:paraId="075EF51F" w14:textId="77777777">
      <w:pPr>
        <w:pStyle w:val="LR"/>
        <w:spacing w:before="120" w:after="120"/>
        <w:rPr>
          <w:rFonts w:ascii="Arial" w:hAnsi="Arial" w:cs="Arial"/>
          <w:b/>
          <w:bCs/>
          <w:i/>
          <w:spacing w:val="6"/>
          <w:sz w:val="20"/>
        </w:rPr>
      </w:pPr>
      <w:r>
        <w:rPr>
          <w:rFonts w:ascii="Arial" w:hAnsi="Arial" w:cs="Arial"/>
          <w:b/>
          <w:color w:val="595959"/>
          <w:spacing w:val="6"/>
          <w:sz w:val="20"/>
        </w:rPr>
        <w:t xml:space="preserve">THIS DRAFT DOES NOT CONSTITUTE A BINDING OFFER AND </w:t>
      </w:r>
      <w:r>
        <w:rPr>
          <w:rFonts w:ascii="Arial" w:hAnsi="Arial" w:cs="Arial"/>
          <w:b/>
          <w:color w:val="595959" w:themeColor="text1" w:themeTint="A6"/>
          <w:sz w:val="20"/>
        </w:rPr>
        <w:t>PROVIDES NO</w:t>
      </w:r>
      <w:r>
        <w:rPr>
          <w:rFonts w:ascii="Arial" w:hAnsi="Arial" w:cs="Arial"/>
          <w:b/>
          <w:color w:val="595959"/>
          <w:spacing w:val="6"/>
          <w:sz w:val="20"/>
        </w:rPr>
        <w:t xml:space="preserve"> BASIS FOR AN AGREEMENT BY ESTOPPEL OR OTHERWISE. GPC RESERVES THE RIGHT, IN ITS SOLE DISCRETION, TO MODIFY THIS DRAFT AT ANY TIME. ANY ACTION TAKEN BY A PARTY IN RELIANCE ON THE TERMS IN THIS DRAFT OR ON </w:t>
      </w:r>
      <w:r>
        <w:rPr>
          <w:rFonts w:ascii="Arial" w:hAnsi="Arial" w:cs="Arial"/>
          <w:b/>
          <w:bCs/>
          <w:color w:val="595959"/>
          <w:spacing w:val="6"/>
          <w:sz w:val="20"/>
        </w:rPr>
        <w:t xml:space="preserve">ANY </w:t>
      </w:r>
      <w:r>
        <w:rPr>
          <w:rFonts w:ascii="Arial" w:hAnsi="Arial" w:cs="Arial"/>
          <w:b/>
          <w:color w:val="595959"/>
          <w:spacing w:val="6"/>
          <w:sz w:val="20"/>
        </w:rPr>
        <w:t xml:space="preserve">STATEMENT MADE DURING NEGOTIATIONS </w:t>
      </w:r>
      <w:r>
        <w:rPr>
          <w:rFonts w:ascii="Arial" w:hAnsi="Arial" w:cs="Arial"/>
          <w:b/>
          <w:color w:val="595959" w:themeColor="text1" w:themeTint="A6"/>
          <w:sz w:val="20"/>
        </w:rPr>
        <w:t>REGARDING</w:t>
      </w:r>
      <w:r>
        <w:rPr>
          <w:rFonts w:ascii="Arial" w:hAnsi="Arial" w:cs="Arial"/>
          <w:b/>
          <w:color w:val="595959"/>
          <w:spacing w:val="6"/>
          <w:sz w:val="20"/>
        </w:rPr>
        <w:t xml:space="preserve"> THIS DRAFT WILL BE AT THAT PARTY’S OWN RISK. UNTIL GPC HAS COMPLETED ITS DUE DILIGENCE AND THIS AGREEMENT IS NEGOTIATED, APPROVED BY MANAGEMENT</w:t>
      </w:r>
      <w:r>
        <w:rPr>
          <w:rFonts w:ascii="Arial" w:hAnsi="Arial" w:cs="Arial"/>
          <w:b/>
          <w:color w:val="595959" w:themeColor="text1" w:themeTint="A6"/>
          <w:sz w:val="20"/>
        </w:rPr>
        <w:t xml:space="preserve"> AND THE COMMISSION</w:t>
      </w:r>
      <w:r>
        <w:rPr>
          <w:rFonts w:ascii="Arial" w:hAnsi="Arial" w:cs="Arial"/>
          <w:b/>
          <w:color w:val="595959"/>
          <w:spacing w:val="6"/>
          <w:sz w:val="20"/>
        </w:rPr>
        <w:t>, EXECUTED, AND DELIVERED, NO PARTY WILL HAVE ANY LEGAL OBLIGATION, EXPRESS OR IMPLIED, OR ARISING IN ANY OTHER MANNER UNDER THIS DRAFT OR IN THE COURSE OF ANY NEGOTIATION.</w:t>
      </w:r>
    </w:p>
    <w:p w:rsidRPr="00B71D5E" w:rsidR="002E568F" w:rsidP="00B71D5E" w:rsidRDefault="002E568F" w14:paraId="60EE6B45" w14:textId="77777777">
      <w:pPr>
        <w:pStyle w:val="zGTitle14"/>
        <w:jc w:val="both"/>
        <w:rPr>
          <w:rFonts w:cs="Arial"/>
          <w:spacing w:val="0"/>
        </w:rPr>
      </w:pPr>
    </w:p>
    <w:p w:rsidRPr="00B71D5E" w:rsidR="002E568F" w:rsidP="00B71D5E" w:rsidRDefault="002E568F" w14:paraId="35961B12" w14:textId="77777777">
      <w:pPr>
        <w:pStyle w:val="zGTitle14"/>
        <w:rPr>
          <w:rFonts w:cs="Arial"/>
          <w:spacing w:val="0"/>
        </w:rPr>
      </w:pPr>
    </w:p>
    <w:p w:rsidRPr="00B71D5E" w:rsidR="00C958B6" w:rsidP="00B71D5E" w:rsidRDefault="009350E9" w14:paraId="5A9955AF" w14:textId="77777777">
      <w:pPr>
        <w:pStyle w:val="zGTitle14"/>
        <w:rPr>
          <w:rFonts w:cs="Arial"/>
          <w:spacing w:val="0"/>
        </w:rPr>
      </w:pPr>
      <w:r>
        <w:rPr>
          <w:rFonts w:cs="Arial"/>
          <w:spacing w:val="0"/>
        </w:rPr>
        <w:t>Asset Purchase Agreement</w:t>
      </w:r>
    </w:p>
    <w:p w:rsidRPr="00B71D5E" w:rsidR="009350E9" w:rsidP="00B71D5E" w:rsidRDefault="00EF043E" w14:paraId="4778F3BD" w14:textId="77777777">
      <w:pPr>
        <w:pStyle w:val="zGTitle14"/>
        <w:rPr>
          <w:rFonts w:cs="Arial"/>
          <w:spacing w:val="0"/>
        </w:rPr>
      </w:pPr>
      <w:r>
        <w:rPr>
          <w:rFonts w:cs="Arial"/>
        </w:rPr>
        <w:t>f</w:t>
      </w:r>
      <w:r>
        <w:rPr>
          <w:rFonts w:cs="Arial"/>
          <w:spacing w:val="0"/>
        </w:rPr>
        <w:t>or</w:t>
      </w:r>
    </w:p>
    <w:p w:rsidR="00944BEE" w:rsidP="00B71D5E" w:rsidRDefault="000E3DD2" w14:paraId="399A10A7" w14:textId="1EC6F098">
      <w:pPr>
        <w:pStyle w:val="zGTitle14"/>
        <w:rPr>
          <w:rFonts w:cs="Arial"/>
        </w:rPr>
      </w:pPr>
      <w:r>
        <w:rPr>
          <w:rFonts w:cs="Arial"/>
        </w:rPr>
        <w:t xml:space="preserve">2026 </w:t>
      </w:r>
      <w:r w:rsidR="007237B5">
        <w:rPr>
          <w:rFonts w:cs="Arial"/>
        </w:rPr>
        <w:t xml:space="preserve">All-Source Capacity </w:t>
      </w:r>
      <w:r w:rsidR="00944BEE">
        <w:rPr>
          <w:rFonts w:cs="Arial"/>
        </w:rPr>
        <w:t xml:space="preserve">Request for Proposals </w:t>
      </w:r>
    </w:p>
    <w:p w:rsidRPr="00B71D5E" w:rsidR="00EF043E" w:rsidP="00B71D5E" w:rsidRDefault="007237B5" w14:paraId="062B7959" w14:textId="5C1A322A">
      <w:pPr>
        <w:pStyle w:val="zGTitle14"/>
        <w:rPr>
          <w:rFonts w:cs="Arial"/>
        </w:rPr>
      </w:pPr>
      <w:r>
        <w:rPr>
          <w:rFonts w:cs="Arial"/>
        </w:rPr>
        <w:t xml:space="preserve">for </w:t>
      </w:r>
      <w:r w:rsidR="00944BEE">
        <w:rPr>
          <w:rFonts w:cs="Arial"/>
        </w:rPr>
        <w:t xml:space="preserve">Need Years </w:t>
      </w:r>
      <w:r>
        <w:rPr>
          <w:rFonts w:cs="Arial"/>
        </w:rPr>
        <w:t>2032–2033</w:t>
      </w:r>
      <w:r w:rsidR="000E3DD2">
        <w:rPr>
          <w:rFonts w:cs="Arial"/>
        </w:rPr>
        <w:t xml:space="preserve"> </w:t>
      </w:r>
    </w:p>
    <w:p w:rsidRPr="00B71D5E" w:rsidR="00EF043E" w:rsidP="00B71D5E" w:rsidRDefault="00EF043E" w14:paraId="4CDAFD15" w14:textId="77777777">
      <w:pPr>
        <w:pStyle w:val="zGTitle14"/>
        <w:rPr>
          <w:rFonts w:cs="Arial"/>
        </w:rPr>
      </w:pPr>
      <w:r>
        <w:rPr>
          <w:rFonts w:cs="Arial"/>
        </w:rPr>
        <w:t>at</w:t>
      </w:r>
    </w:p>
    <w:p w:rsidRPr="00B71D5E" w:rsidR="0023388F" w:rsidP="00B71D5E" w:rsidRDefault="0023388F" w14:paraId="082BFFD9" w14:textId="77777777">
      <w:pPr>
        <w:pStyle w:val="zGTitle14"/>
        <w:rPr>
          <w:rFonts w:cs="Arial"/>
          <w:color w:val="000000" w:themeColor="text1"/>
          <w:spacing w:val="0"/>
        </w:rPr>
      </w:pPr>
      <w:r>
        <w:rPr>
          <w:rFonts w:cs="Arial"/>
          <w:color w:val="000000" w:themeColor="text1"/>
          <w:spacing w:val="0"/>
          <w:highlight w:val="yellow"/>
        </w:rPr>
        <w:t>#FacilityName#</w:t>
      </w:r>
    </w:p>
    <w:p w:rsidRPr="00B71D5E" w:rsidR="0023388F" w:rsidP="00B71D5E" w:rsidRDefault="0023388F" w14:paraId="1B02ECEB" w14:textId="77777777">
      <w:pPr>
        <w:pStyle w:val="zGTitle14"/>
        <w:rPr>
          <w:rFonts w:cs="Arial"/>
          <w:color w:val="000000" w:themeColor="text1"/>
          <w:spacing w:val="0"/>
        </w:rPr>
      </w:pPr>
      <w:r>
        <w:rPr>
          <w:rFonts w:cs="Arial"/>
          <w:color w:val="000000" w:themeColor="text1"/>
          <w:spacing w:val="0"/>
        </w:rPr>
        <w:t>between</w:t>
      </w:r>
    </w:p>
    <w:p w:rsidRPr="00B71D5E" w:rsidR="0023388F" w:rsidP="00B71D5E" w:rsidRDefault="0023388F" w14:paraId="5A47B8FA" w14:textId="77777777">
      <w:pPr>
        <w:pStyle w:val="zGTitle14"/>
        <w:rPr>
          <w:rFonts w:cs="Arial"/>
          <w:color w:val="000000" w:themeColor="text1"/>
          <w:spacing w:val="0"/>
        </w:rPr>
      </w:pPr>
      <w:r>
        <w:rPr>
          <w:rFonts w:cs="Arial"/>
          <w:color w:val="000000" w:themeColor="text1"/>
          <w:spacing w:val="0"/>
        </w:rPr>
        <w:t>Georgia Power Company</w:t>
      </w:r>
    </w:p>
    <w:p w:rsidRPr="00B71D5E" w:rsidR="0023388F" w:rsidP="00B71D5E" w:rsidRDefault="0023388F" w14:paraId="0C904536" w14:textId="77777777">
      <w:pPr>
        <w:pStyle w:val="zGTitle14"/>
        <w:rPr>
          <w:rFonts w:cs="Arial"/>
          <w:color w:val="000000" w:themeColor="text1"/>
          <w:spacing w:val="0"/>
        </w:rPr>
      </w:pPr>
      <w:r>
        <w:rPr>
          <w:rFonts w:cs="Arial"/>
          <w:color w:val="000000" w:themeColor="text1"/>
          <w:spacing w:val="0"/>
        </w:rPr>
        <w:t>and</w:t>
      </w:r>
    </w:p>
    <w:p w:rsidRPr="00B71D5E" w:rsidR="0023388F" w:rsidP="00B71D5E" w:rsidRDefault="0023388F" w14:paraId="15BBDBCC" w14:textId="77777777">
      <w:pPr>
        <w:pStyle w:val="zGTitle14"/>
        <w:rPr>
          <w:rFonts w:cs="Arial"/>
          <w:spacing w:val="0"/>
        </w:rPr>
      </w:pPr>
      <w:r>
        <w:rPr>
          <w:rFonts w:cs="Arial"/>
          <w:color w:val="000000" w:themeColor="text1"/>
          <w:spacing w:val="0"/>
          <w:highlight w:val="yellow"/>
        </w:rPr>
        <w:t>#SellerLegalName#</w:t>
      </w:r>
    </w:p>
    <w:p w:rsidRPr="00B71D5E" w:rsidR="0023388F" w:rsidP="00B71D5E" w:rsidRDefault="0023388F" w14:paraId="62EBD6E8" w14:textId="77777777">
      <w:pPr>
        <w:pStyle w:val="zGTitle14"/>
        <w:rPr>
          <w:rFonts w:eastAsia="Calibri" w:cs="Arial"/>
          <w:spacing w:val="0"/>
          <w:sz w:val="20"/>
          <w:szCs w:val="20"/>
        </w:rPr>
      </w:pPr>
    </w:p>
    <w:p w:rsidRPr="00B71D5E" w:rsidR="0023388F" w:rsidP="00B71D5E" w:rsidRDefault="0023388F" w14:paraId="0CA06C29" w14:textId="77777777">
      <w:pPr>
        <w:pStyle w:val="zGTitle14"/>
        <w:rPr>
          <w:rFonts w:eastAsia="Calibri" w:cs="Arial"/>
          <w:spacing w:val="0"/>
          <w:sz w:val="20"/>
          <w:szCs w:val="20"/>
        </w:rPr>
      </w:pPr>
    </w:p>
    <w:p w:rsidRPr="00B71D5E" w:rsidR="0023388F" w:rsidP="00B71D5E" w:rsidRDefault="0023388F" w14:paraId="01620743" w14:textId="77777777">
      <w:pPr>
        <w:pStyle w:val="zGTitle14"/>
        <w:rPr>
          <w:rFonts w:eastAsia="Calibri" w:cs="Arial"/>
          <w:spacing w:val="0"/>
          <w:sz w:val="22"/>
          <w:szCs w:val="22"/>
          <w:highlight w:val="yellow"/>
        </w:rPr>
      </w:pPr>
      <w:r>
        <w:rPr>
          <w:rFonts w:eastAsia="Calibri" w:cs="Arial"/>
          <w:spacing w:val="0"/>
          <w:sz w:val="22"/>
          <w:szCs w:val="22"/>
        </w:rPr>
        <w:t xml:space="preserve">Dated as of </w:t>
      </w:r>
      <w:r>
        <w:rPr>
          <w:rFonts w:eastAsia="Calibri" w:cs="Arial"/>
          <w:spacing w:val="0"/>
          <w:sz w:val="22"/>
          <w:szCs w:val="22"/>
          <w:highlight w:val="yellow"/>
        </w:rPr>
        <w:t>#Date#</w:t>
      </w:r>
    </w:p>
    <w:p w:rsidRPr="00B71D5E" w:rsidR="0023388F" w:rsidP="00B71D5E" w:rsidRDefault="0023388F" w14:paraId="28BD48D1" w14:textId="77777777">
      <w:pPr>
        <w:pStyle w:val="zGTitle14"/>
        <w:rPr>
          <w:rFonts w:cs="Arial"/>
          <w:spacing w:val="0"/>
        </w:rPr>
      </w:pPr>
    </w:p>
    <w:p w:rsidRPr="00B71D5E" w:rsidR="00C958B6" w:rsidP="00B71D5E" w:rsidRDefault="00C958B6" w14:paraId="009F4B9A" w14:textId="77777777">
      <w:pPr>
        <w:spacing w:before="120" w:after="120" w:line="240" w:lineRule="auto"/>
        <w:rPr>
          <w:rFonts w:ascii="Arial" w:hAnsi="Arial" w:cs="Arial"/>
          <w:sz w:val="20"/>
          <w:szCs w:val="20"/>
        </w:rPr>
      </w:pPr>
    </w:p>
    <w:p w:rsidRPr="00B71D5E" w:rsidR="00C958B6" w:rsidP="00B71D5E" w:rsidRDefault="00C958B6" w14:paraId="7A241178" w14:textId="77777777">
      <w:pPr>
        <w:spacing w:before="120" w:after="120" w:line="240" w:lineRule="auto"/>
        <w:rPr>
          <w:rFonts w:ascii="Arial" w:hAnsi="Arial" w:cs="Arial"/>
          <w:sz w:val="20"/>
          <w:szCs w:val="20"/>
        </w:rPr>
      </w:pPr>
    </w:p>
    <w:p w:rsidRPr="00B71D5E" w:rsidR="00B907F8" w:rsidP="00B71D5E" w:rsidRDefault="00B907F8" w14:paraId="54BF2BD5" w14:textId="77777777">
      <w:pPr>
        <w:spacing w:before="120" w:after="120" w:line="240" w:lineRule="auto"/>
        <w:rPr>
          <w:rFonts w:ascii="Arial" w:hAnsi="Arial" w:cs="Arial"/>
          <w:sz w:val="20"/>
          <w:szCs w:val="20"/>
        </w:rPr>
      </w:pPr>
    </w:p>
    <w:p w:rsidRPr="00B71D5E" w:rsidR="00B907F8" w:rsidP="00B71D5E" w:rsidRDefault="00B907F8" w14:paraId="4501621F" w14:textId="77777777">
      <w:pPr>
        <w:spacing w:before="120" w:after="120" w:line="240" w:lineRule="auto"/>
        <w:rPr>
          <w:rFonts w:ascii="Arial" w:hAnsi="Arial" w:cs="Arial"/>
          <w:sz w:val="20"/>
          <w:szCs w:val="20"/>
        </w:rPr>
      </w:pPr>
    </w:p>
    <w:p w:rsidRPr="00B71D5E" w:rsidR="00B907F8" w:rsidP="00B71D5E" w:rsidRDefault="00B907F8" w14:paraId="611E0DA3" w14:textId="77777777">
      <w:pPr>
        <w:spacing w:before="120" w:after="120" w:line="240" w:lineRule="auto"/>
        <w:rPr>
          <w:rFonts w:ascii="Arial" w:hAnsi="Arial" w:cs="Arial"/>
          <w:sz w:val="20"/>
          <w:szCs w:val="20"/>
        </w:rPr>
      </w:pPr>
    </w:p>
    <w:p w:rsidRPr="00B71D5E" w:rsidR="00B907F8" w:rsidP="00B71D5E" w:rsidRDefault="00B907F8" w14:paraId="58FDFFE7" w14:textId="77777777">
      <w:pPr>
        <w:spacing w:before="120" w:after="120" w:line="240" w:lineRule="auto"/>
        <w:rPr>
          <w:rFonts w:ascii="Arial" w:hAnsi="Arial" w:cs="Arial"/>
          <w:sz w:val="20"/>
          <w:szCs w:val="20"/>
        </w:rPr>
      </w:pPr>
    </w:p>
    <w:p w:rsidRPr="00B71D5E" w:rsidR="003918DA" w:rsidP="00B71D5E" w:rsidRDefault="003918DA" w14:paraId="234F2B05" w14:textId="77777777">
      <w:pPr>
        <w:spacing w:before="120" w:after="120" w:line="240" w:lineRule="auto"/>
        <w:rPr>
          <w:rFonts w:ascii="Arial" w:hAnsi="Arial" w:cs="Arial"/>
          <w:sz w:val="20"/>
          <w:szCs w:val="20"/>
        </w:rPr>
      </w:pPr>
    </w:p>
    <w:p w:rsidRPr="00B71D5E" w:rsidR="00B907F8" w:rsidP="00B71D5E" w:rsidRDefault="00B907F8" w14:paraId="2F321A16" w14:textId="77777777">
      <w:pPr>
        <w:spacing w:before="120" w:after="120" w:line="240" w:lineRule="auto"/>
        <w:rPr>
          <w:rFonts w:ascii="Arial" w:hAnsi="Arial" w:cs="Arial"/>
          <w:sz w:val="20"/>
          <w:szCs w:val="20"/>
        </w:rPr>
      </w:pPr>
    </w:p>
    <w:p w:rsidRPr="00B71D5E" w:rsidR="00B907F8" w:rsidP="00B71D5E" w:rsidRDefault="00B907F8" w14:paraId="301F8B78" w14:textId="77777777">
      <w:pPr>
        <w:spacing w:before="120" w:after="120" w:line="240" w:lineRule="auto"/>
        <w:rPr>
          <w:rFonts w:ascii="Arial" w:hAnsi="Arial" w:cs="Arial"/>
          <w:sz w:val="20"/>
          <w:szCs w:val="20"/>
        </w:rPr>
      </w:pPr>
    </w:p>
    <w:p w:rsidRPr="00B71D5E" w:rsidR="00CF326F" w:rsidP="00B71D5E" w:rsidRDefault="00CF326F" w14:paraId="45364D64" w14:textId="77777777">
      <w:pPr>
        <w:pStyle w:val="zGNormal"/>
        <w:spacing w:after="120"/>
        <w:rPr>
          <w:i/>
          <w:noProof/>
        </w:rPr>
      </w:pPr>
    </w:p>
    <w:p w:rsidRPr="00B71D5E" w:rsidR="00B907F8" w:rsidP="00B71D5E" w:rsidRDefault="00B907F8" w14:paraId="4F43C427" w14:textId="77777777">
      <w:pPr>
        <w:pStyle w:val="zGNormal"/>
        <w:spacing w:after="120"/>
        <w:rPr>
          <w:rFonts w:eastAsia="Calibri"/>
          <w:highlight w:val="yellow"/>
        </w:rPr>
      </w:pPr>
      <w:r>
        <w:rPr>
          <w:i/>
          <w:noProof/>
        </w:rPr>
        <w:t>This agreement contains confidential information for use by GPC, Seller, or their Affiliates only; do not disclose, copy, or scan for any other purpose, except to the extent required by</w:t>
      </w:r>
      <w:r>
        <w:rPr>
          <w:i/>
          <w:iCs/>
          <w:noProof/>
        </w:rPr>
        <w:t xml:space="preserve"> </w:t>
      </w:r>
      <w:r>
        <w:rPr>
          <w:rFonts w:eastAsia="Times New Roman"/>
          <w:i/>
          <w:iCs/>
        </w:rPr>
        <w:t>law</w:t>
      </w:r>
      <w:r>
        <w:rPr>
          <w:i/>
          <w:noProof/>
        </w:rPr>
        <w:t xml:space="preserve"> or allowed by contract.</w:t>
      </w:r>
      <w:r>
        <w:rPr>
          <w:rFonts w:eastAsia="Calibri"/>
          <w:highlight w:val="yellow"/>
        </w:rPr>
        <w:br w:type="page"/>
      </w:r>
    </w:p>
    <w:p w:rsidRPr="00B71D5E" w:rsidR="00B907F8" w:rsidP="00B71D5E" w:rsidRDefault="00B907F8" w14:paraId="520BAAD5" w14:textId="77777777">
      <w:pPr>
        <w:spacing w:before="120" w:after="120" w:line="240" w:lineRule="auto"/>
        <w:rPr>
          <w:rFonts w:ascii="Arial" w:hAnsi="Arial" w:cs="Arial"/>
          <w:sz w:val="20"/>
          <w:szCs w:val="20"/>
        </w:rPr>
        <w:sectPr w:rsidRPr="00B71D5E" w:rsidR="00B907F8" w:rsidSect="00C11AB5">
          <w:headerReference w:type="default" r:id="rId7"/>
          <w:footerReference w:type="default" r:id="rId8"/>
          <w:headerReference w:type="first" r:id="rId9"/>
          <w:pgSz w:w="12240" w:h="15840" w:code="1"/>
          <w:pgMar w:top="1080" w:right="1080" w:bottom="936" w:left="1224" w:header="432" w:footer="576" w:gutter="0"/>
          <w:cols w:space="720"/>
          <w:docGrid w:linePitch="360"/>
        </w:sectPr>
      </w:pPr>
    </w:p>
    <w:p w:rsidRPr="00D83A7B" w:rsidR="00B574FF" w:rsidP="008334ED" w:rsidRDefault="00B574FF" w14:paraId="4AF78C3E" w14:textId="77777777">
      <w:pPr>
        <w:pStyle w:val="zGTitleExhibit"/>
        <w:rPr>
          <w:rFonts w:cs="Arial"/>
          <w:sz w:val="20"/>
          <w:szCs w:val="20"/>
        </w:rPr>
      </w:pPr>
      <w:bookmarkStart w:name="_Toc214644706" w:id="0"/>
      <w:r w:rsidRPr="00D83A7B">
        <w:rPr>
          <w:rFonts w:cs="Arial"/>
          <w:sz w:val="20"/>
          <w:szCs w:val="20"/>
        </w:rPr>
        <w:lastRenderedPageBreak/>
        <w:t>Table of Contents</w:t>
      </w:r>
      <w:bookmarkEnd w:id="0"/>
    </w:p>
    <w:sdt>
      <w:sdtPr>
        <w:rPr>
          <w:rFonts w:ascii="Arial" w:hAnsi="Arial" w:cs="Arial"/>
          <w:b w:val="0"/>
          <w:caps w:val="0"/>
          <w:kern w:val="0"/>
          <w:sz w:val="20"/>
          <w:szCs w:val="20"/>
        </w:rPr>
        <w:id w:val="-1443527103"/>
        <w:docPartObj>
          <w:docPartGallery w:val="Table of Contents"/>
          <w:docPartUnique/>
        </w:docPartObj>
      </w:sdtPr>
      <w:sdtEndPr>
        <w:rPr>
          <w:b/>
          <w:bCs/>
          <w:caps/>
          <w:noProof/>
          <w:kern w:val="2"/>
        </w:rPr>
      </w:sdtEndPr>
      <w:sdtContent>
        <w:p w:rsidR="002B196E" w:rsidRDefault="00B574FF" w14:paraId="488C22C7" w14:textId="388AE9D7">
          <w:pPr>
            <w:pStyle w:val="TOC1"/>
            <w:rPr>
              <w:rFonts w:asciiTheme="minorHAnsi" w:hAnsiTheme="minorHAnsi" w:eastAsiaTheme="minorEastAsia"/>
              <w:b w:val="0"/>
              <w:caps w:val="0"/>
              <w:noProof/>
              <w:sz w:val="24"/>
              <w:szCs w:val="24"/>
            </w:rPr>
          </w:pPr>
          <w:r w:rsidRPr="00D83A7B">
            <w:rPr>
              <w:rFonts w:ascii="Arial" w:hAnsi="Arial" w:cs="Arial"/>
              <w:sz w:val="20"/>
              <w:szCs w:val="20"/>
            </w:rPr>
            <w:fldChar w:fldCharType="begin"/>
          </w:r>
          <w:r w:rsidRPr="00D83A7B">
            <w:rPr>
              <w:rFonts w:ascii="Arial" w:hAnsi="Arial" w:cs="Arial"/>
              <w:sz w:val="20"/>
              <w:szCs w:val="20"/>
            </w:rPr>
            <w:instrText xml:space="preserve"> TOC \h \z \t "zGTC01,1,zGTC02,2,zGBody 1,1,zGBody 2,2,zGTitleExhibit,1" </w:instrText>
          </w:r>
          <w:r w:rsidRPr="00D83A7B">
            <w:rPr>
              <w:rFonts w:ascii="Arial" w:hAnsi="Arial" w:cs="Arial"/>
              <w:sz w:val="20"/>
              <w:szCs w:val="20"/>
            </w:rPr>
            <w:fldChar w:fldCharType="separate"/>
          </w:r>
          <w:hyperlink w:history="1" w:anchor="_Toc214644706">
            <w:r w:rsidRPr="009B2599" w:rsidR="002B196E">
              <w:rPr>
                <w:rStyle w:val="Hyperlink"/>
                <w:rFonts w:cs="Arial"/>
                <w:noProof/>
              </w:rPr>
              <w:t>Table of Contents</w:t>
            </w:r>
            <w:r w:rsidR="002B196E">
              <w:rPr>
                <w:noProof/>
                <w:webHidden/>
              </w:rPr>
              <w:tab/>
            </w:r>
            <w:r w:rsidR="002B196E">
              <w:rPr>
                <w:noProof/>
                <w:webHidden/>
              </w:rPr>
              <w:fldChar w:fldCharType="begin"/>
            </w:r>
            <w:r w:rsidR="002B196E">
              <w:rPr>
                <w:noProof/>
                <w:webHidden/>
              </w:rPr>
              <w:instrText xml:space="preserve"> PAGEREF _Toc214644706 \h </w:instrText>
            </w:r>
            <w:r w:rsidR="002B196E">
              <w:rPr>
                <w:noProof/>
                <w:webHidden/>
              </w:rPr>
            </w:r>
            <w:r w:rsidR="002B196E">
              <w:rPr>
                <w:noProof/>
                <w:webHidden/>
              </w:rPr>
              <w:fldChar w:fldCharType="separate"/>
            </w:r>
            <w:r w:rsidR="002B196E">
              <w:rPr>
                <w:noProof/>
                <w:webHidden/>
              </w:rPr>
              <w:t>2</w:t>
            </w:r>
            <w:r w:rsidR="002B196E">
              <w:rPr>
                <w:noProof/>
                <w:webHidden/>
              </w:rPr>
              <w:fldChar w:fldCharType="end"/>
            </w:r>
          </w:hyperlink>
        </w:p>
        <w:p w:rsidR="002B196E" w:rsidRDefault="002B196E" w14:paraId="431F0E13" w14:textId="74321ED6">
          <w:pPr>
            <w:pStyle w:val="TOC1"/>
            <w:rPr>
              <w:rFonts w:asciiTheme="minorHAnsi" w:hAnsiTheme="minorHAnsi" w:eastAsiaTheme="minorEastAsia"/>
              <w:b w:val="0"/>
              <w:caps w:val="0"/>
              <w:noProof/>
              <w:sz w:val="24"/>
              <w:szCs w:val="24"/>
            </w:rPr>
          </w:pPr>
          <w:hyperlink w:history="1" w:anchor="_Toc214644707">
            <w:r w:rsidRPr="009B2599">
              <w:rPr>
                <w:rStyle w:val="Hyperlink"/>
                <w:rFonts w:cs="Arial"/>
                <w:noProof/>
              </w:rPr>
              <w:t>Schedule of Defined Terms</w:t>
            </w:r>
            <w:r>
              <w:rPr>
                <w:noProof/>
                <w:webHidden/>
              </w:rPr>
              <w:tab/>
            </w:r>
            <w:r>
              <w:rPr>
                <w:noProof/>
                <w:webHidden/>
              </w:rPr>
              <w:fldChar w:fldCharType="begin"/>
            </w:r>
            <w:r>
              <w:rPr>
                <w:noProof/>
                <w:webHidden/>
              </w:rPr>
              <w:instrText xml:space="preserve"> PAGEREF _Toc214644707 \h </w:instrText>
            </w:r>
            <w:r>
              <w:rPr>
                <w:noProof/>
                <w:webHidden/>
              </w:rPr>
            </w:r>
            <w:r>
              <w:rPr>
                <w:noProof/>
                <w:webHidden/>
              </w:rPr>
              <w:fldChar w:fldCharType="separate"/>
            </w:r>
            <w:r>
              <w:rPr>
                <w:noProof/>
                <w:webHidden/>
              </w:rPr>
              <w:t>5</w:t>
            </w:r>
            <w:r>
              <w:rPr>
                <w:noProof/>
                <w:webHidden/>
              </w:rPr>
              <w:fldChar w:fldCharType="end"/>
            </w:r>
          </w:hyperlink>
        </w:p>
        <w:p w:rsidR="002B196E" w:rsidRDefault="002B196E" w14:paraId="196BCA51" w14:textId="44C19CD6">
          <w:pPr>
            <w:pStyle w:val="TOC1"/>
            <w:rPr>
              <w:rFonts w:asciiTheme="minorHAnsi" w:hAnsiTheme="minorHAnsi" w:eastAsiaTheme="minorEastAsia"/>
              <w:b w:val="0"/>
              <w:caps w:val="0"/>
              <w:noProof/>
              <w:sz w:val="24"/>
              <w:szCs w:val="24"/>
            </w:rPr>
          </w:pPr>
          <w:hyperlink w:history="1" w:anchor="_Toc214644708">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1.</w:t>
            </w:r>
            <w:r>
              <w:rPr>
                <w:rFonts w:asciiTheme="minorHAnsi" w:hAnsiTheme="minorHAnsi" w:eastAsiaTheme="minorEastAsia"/>
                <w:b w:val="0"/>
                <w:caps w:val="0"/>
                <w:noProof/>
                <w:sz w:val="24"/>
                <w:szCs w:val="24"/>
              </w:rPr>
              <w:tab/>
            </w:r>
            <w:r w:rsidRPr="009B2599">
              <w:rPr>
                <w:rStyle w:val="Hyperlink"/>
                <w:noProof/>
              </w:rPr>
              <w:t>Purchase and Sale</w:t>
            </w:r>
            <w:r>
              <w:rPr>
                <w:noProof/>
                <w:webHidden/>
              </w:rPr>
              <w:tab/>
            </w:r>
            <w:r>
              <w:rPr>
                <w:noProof/>
                <w:webHidden/>
              </w:rPr>
              <w:fldChar w:fldCharType="begin"/>
            </w:r>
            <w:r>
              <w:rPr>
                <w:noProof/>
                <w:webHidden/>
              </w:rPr>
              <w:instrText xml:space="preserve"> PAGEREF _Toc214644708 \h </w:instrText>
            </w:r>
            <w:r>
              <w:rPr>
                <w:noProof/>
                <w:webHidden/>
              </w:rPr>
            </w:r>
            <w:r>
              <w:rPr>
                <w:noProof/>
                <w:webHidden/>
              </w:rPr>
              <w:fldChar w:fldCharType="separate"/>
            </w:r>
            <w:r>
              <w:rPr>
                <w:noProof/>
                <w:webHidden/>
              </w:rPr>
              <w:t>17</w:t>
            </w:r>
            <w:r>
              <w:rPr>
                <w:noProof/>
                <w:webHidden/>
              </w:rPr>
              <w:fldChar w:fldCharType="end"/>
            </w:r>
          </w:hyperlink>
        </w:p>
        <w:p w:rsidR="002B196E" w:rsidRDefault="002B196E" w14:paraId="573D4FFA" w14:textId="756C21F6">
          <w:pPr>
            <w:pStyle w:val="TOC2"/>
            <w:tabs>
              <w:tab w:val="left" w:pos="1440"/>
            </w:tabs>
            <w:rPr>
              <w:rFonts w:asciiTheme="minorHAnsi" w:hAnsiTheme="minorHAnsi" w:eastAsiaTheme="minorEastAsia"/>
              <w:noProof/>
              <w:sz w:val="24"/>
              <w:szCs w:val="24"/>
            </w:rPr>
          </w:pPr>
          <w:hyperlink w:history="1" w:anchor="_Toc214644709">
            <w:r w:rsidRPr="009B2599">
              <w:rPr>
                <w:rStyle w:val="Hyperlink"/>
                <w:rFonts w:cs="Arial"/>
                <w:caps/>
                <w:noProof/>
                <w:specVanish/>
              </w:rPr>
              <w:t>1.1</w:t>
            </w:r>
            <w:r>
              <w:rPr>
                <w:rFonts w:asciiTheme="minorHAnsi" w:hAnsiTheme="minorHAnsi" w:eastAsiaTheme="minorEastAsia"/>
                <w:noProof/>
                <w:sz w:val="24"/>
                <w:szCs w:val="24"/>
              </w:rPr>
              <w:tab/>
            </w:r>
            <w:r w:rsidRPr="009B2599">
              <w:rPr>
                <w:rStyle w:val="Hyperlink"/>
                <w:bCs/>
                <w:noProof/>
              </w:rPr>
              <w:t>Purchase and Sale of Facility Assets.</w:t>
            </w:r>
            <w:r>
              <w:rPr>
                <w:noProof/>
                <w:webHidden/>
              </w:rPr>
              <w:tab/>
            </w:r>
            <w:r>
              <w:rPr>
                <w:noProof/>
                <w:webHidden/>
              </w:rPr>
              <w:fldChar w:fldCharType="begin"/>
            </w:r>
            <w:r>
              <w:rPr>
                <w:noProof/>
                <w:webHidden/>
              </w:rPr>
              <w:instrText xml:space="preserve"> PAGEREF _Toc214644709 \h </w:instrText>
            </w:r>
            <w:r>
              <w:rPr>
                <w:noProof/>
                <w:webHidden/>
              </w:rPr>
            </w:r>
            <w:r>
              <w:rPr>
                <w:noProof/>
                <w:webHidden/>
              </w:rPr>
              <w:fldChar w:fldCharType="separate"/>
            </w:r>
            <w:r>
              <w:rPr>
                <w:noProof/>
                <w:webHidden/>
              </w:rPr>
              <w:t>17</w:t>
            </w:r>
            <w:r>
              <w:rPr>
                <w:noProof/>
                <w:webHidden/>
              </w:rPr>
              <w:fldChar w:fldCharType="end"/>
            </w:r>
          </w:hyperlink>
        </w:p>
        <w:p w:rsidR="002B196E" w:rsidRDefault="002B196E" w14:paraId="66321FC1" w14:textId="080EC7B0">
          <w:pPr>
            <w:pStyle w:val="TOC2"/>
            <w:tabs>
              <w:tab w:val="left" w:pos="1440"/>
            </w:tabs>
            <w:rPr>
              <w:rFonts w:asciiTheme="minorHAnsi" w:hAnsiTheme="minorHAnsi" w:eastAsiaTheme="minorEastAsia"/>
              <w:noProof/>
              <w:sz w:val="24"/>
              <w:szCs w:val="24"/>
            </w:rPr>
          </w:pPr>
          <w:hyperlink w:history="1" w:anchor="_Toc214644710">
            <w:r w:rsidRPr="009B2599">
              <w:rPr>
                <w:rStyle w:val="Hyperlink"/>
                <w:rFonts w:cs="Arial"/>
                <w:caps/>
                <w:noProof/>
                <w:specVanish/>
              </w:rPr>
              <w:t>1.2</w:t>
            </w:r>
            <w:r>
              <w:rPr>
                <w:rFonts w:asciiTheme="minorHAnsi" w:hAnsiTheme="minorHAnsi" w:eastAsiaTheme="minorEastAsia"/>
                <w:noProof/>
                <w:sz w:val="24"/>
                <w:szCs w:val="24"/>
              </w:rPr>
              <w:tab/>
            </w:r>
            <w:r w:rsidRPr="009B2599">
              <w:rPr>
                <w:rStyle w:val="Hyperlink"/>
                <w:bCs/>
                <w:noProof/>
              </w:rPr>
              <w:t>Assignment and Assumption of Facility Contracts and Facility Permits.</w:t>
            </w:r>
            <w:r>
              <w:rPr>
                <w:noProof/>
                <w:webHidden/>
              </w:rPr>
              <w:tab/>
            </w:r>
            <w:r>
              <w:rPr>
                <w:noProof/>
                <w:webHidden/>
              </w:rPr>
              <w:fldChar w:fldCharType="begin"/>
            </w:r>
            <w:r>
              <w:rPr>
                <w:noProof/>
                <w:webHidden/>
              </w:rPr>
              <w:instrText xml:space="preserve"> PAGEREF _Toc214644710 \h </w:instrText>
            </w:r>
            <w:r>
              <w:rPr>
                <w:noProof/>
                <w:webHidden/>
              </w:rPr>
            </w:r>
            <w:r>
              <w:rPr>
                <w:noProof/>
                <w:webHidden/>
              </w:rPr>
              <w:fldChar w:fldCharType="separate"/>
            </w:r>
            <w:r>
              <w:rPr>
                <w:noProof/>
                <w:webHidden/>
              </w:rPr>
              <w:t>17</w:t>
            </w:r>
            <w:r>
              <w:rPr>
                <w:noProof/>
                <w:webHidden/>
              </w:rPr>
              <w:fldChar w:fldCharType="end"/>
            </w:r>
          </w:hyperlink>
        </w:p>
        <w:p w:rsidR="002B196E" w:rsidRDefault="002B196E" w14:paraId="2BF92B92" w14:textId="7D495BC9">
          <w:pPr>
            <w:pStyle w:val="TOC2"/>
            <w:tabs>
              <w:tab w:val="left" w:pos="1440"/>
            </w:tabs>
            <w:rPr>
              <w:rFonts w:asciiTheme="minorHAnsi" w:hAnsiTheme="minorHAnsi" w:eastAsiaTheme="minorEastAsia"/>
              <w:noProof/>
              <w:sz w:val="24"/>
              <w:szCs w:val="24"/>
            </w:rPr>
          </w:pPr>
          <w:hyperlink w:history="1" w:anchor="_Toc214644711">
            <w:r w:rsidRPr="009B2599">
              <w:rPr>
                <w:rStyle w:val="Hyperlink"/>
                <w:rFonts w:cs="Arial"/>
                <w:caps/>
                <w:noProof/>
                <w:specVanish/>
              </w:rPr>
              <w:t>1.3</w:t>
            </w:r>
            <w:r>
              <w:rPr>
                <w:rFonts w:asciiTheme="minorHAnsi" w:hAnsiTheme="minorHAnsi" w:eastAsiaTheme="minorEastAsia"/>
                <w:noProof/>
                <w:sz w:val="24"/>
                <w:szCs w:val="24"/>
              </w:rPr>
              <w:tab/>
            </w:r>
            <w:r w:rsidRPr="009B2599">
              <w:rPr>
                <w:rStyle w:val="Hyperlink"/>
                <w:bCs/>
                <w:noProof/>
              </w:rPr>
              <w:t>Excluded Assets.</w:t>
            </w:r>
            <w:r>
              <w:rPr>
                <w:noProof/>
                <w:webHidden/>
              </w:rPr>
              <w:tab/>
            </w:r>
            <w:r>
              <w:rPr>
                <w:noProof/>
                <w:webHidden/>
              </w:rPr>
              <w:fldChar w:fldCharType="begin"/>
            </w:r>
            <w:r>
              <w:rPr>
                <w:noProof/>
                <w:webHidden/>
              </w:rPr>
              <w:instrText xml:space="preserve"> PAGEREF _Toc214644711 \h </w:instrText>
            </w:r>
            <w:r>
              <w:rPr>
                <w:noProof/>
                <w:webHidden/>
              </w:rPr>
            </w:r>
            <w:r>
              <w:rPr>
                <w:noProof/>
                <w:webHidden/>
              </w:rPr>
              <w:fldChar w:fldCharType="separate"/>
            </w:r>
            <w:r>
              <w:rPr>
                <w:noProof/>
                <w:webHidden/>
              </w:rPr>
              <w:t>17</w:t>
            </w:r>
            <w:r>
              <w:rPr>
                <w:noProof/>
                <w:webHidden/>
              </w:rPr>
              <w:fldChar w:fldCharType="end"/>
            </w:r>
          </w:hyperlink>
        </w:p>
        <w:p w:rsidR="002B196E" w:rsidRDefault="002B196E" w14:paraId="11094E91" w14:textId="4AA88352">
          <w:pPr>
            <w:pStyle w:val="TOC2"/>
            <w:tabs>
              <w:tab w:val="left" w:pos="1440"/>
            </w:tabs>
            <w:rPr>
              <w:rFonts w:asciiTheme="minorHAnsi" w:hAnsiTheme="minorHAnsi" w:eastAsiaTheme="minorEastAsia"/>
              <w:noProof/>
              <w:sz w:val="24"/>
              <w:szCs w:val="24"/>
            </w:rPr>
          </w:pPr>
          <w:hyperlink w:history="1" w:anchor="_Toc214644712">
            <w:r w:rsidRPr="009B2599">
              <w:rPr>
                <w:rStyle w:val="Hyperlink"/>
                <w:rFonts w:cs="Arial"/>
                <w:caps/>
                <w:noProof/>
                <w:specVanish/>
              </w:rPr>
              <w:t>1.4</w:t>
            </w:r>
            <w:r>
              <w:rPr>
                <w:rFonts w:asciiTheme="minorHAnsi" w:hAnsiTheme="minorHAnsi" w:eastAsiaTheme="minorEastAsia"/>
                <w:noProof/>
                <w:sz w:val="24"/>
                <w:szCs w:val="24"/>
              </w:rPr>
              <w:tab/>
            </w:r>
            <w:r w:rsidRPr="009B2599">
              <w:rPr>
                <w:rStyle w:val="Hyperlink"/>
                <w:bCs/>
                <w:noProof/>
              </w:rPr>
              <w:t>Excluded Liabilities.</w:t>
            </w:r>
            <w:r>
              <w:rPr>
                <w:noProof/>
                <w:webHidden/>
              </w:rPr>
              <w:tab/>
            </w:r>
            <w:r>
              <w:rPr>
                <w:noProof/>
                <w:webHidden/>
              </w:rPr>
              <w:fldChar w:fldCharType="begin"/>
            </w:r>
            <w:r>
              <w:rPr>
                <w:noProof/>
                <w:webHidden/>
              </w:rPr>
              <w:instrText xml:space="preserve"> PAGEREF _Toc214644712 \h </w:instrText>
            </w:r>
            <w:r>
              <w:rPr>
                <w:noProof/>
                <w:webHidden/>
              </w:rPr>
            </w:r>
            <w:r>
              <w:rPr>
                <w:noProof/>
                <w:webHidden/>
              </w:rPr>
              <w:fldChar w:fldCharType="separate"/>
            </w:r>
            <w:r>
              <w:rPr>
                <w:noProof/>
                <w:webHidden/>
              </w:rPr>
              <w:t>17</w:t>
            </w:r>
            <w:r>
              <w:rPr>
                <w:noProof/>
                <w:webHidden/>
              </w:rPr>
              <w:fldChar w:fldCharType="end"/>
            </w:r>
          </w:hyperlink>
        </w:p>
        <w:p w:rsidR="002B196E" w:rsidRDefault="002B196E" w14:paraId="2D17D1F1" w14:textId="72D7B727">
          <w:pPr>
            <w:pStyle w:val="TOC2"/>
            <w:tabs>
              <w:tab w:val="left" w:pos="1440"/>
            </w:tabs>
            <w:rPr>
              <w:rFonts w:asciiTheme="minorHAnsi" w:hAnsiTheme="minorHAnsi" w:eastAsiaTheme="minorEastAsia"/>
              <w:noProof/>
              <w:sz w:val="24"/>
              <w:szCs w:val="24"/>
            </w:rPr>
          </w:pPr>
          <w:hyperlink w:history="1" w:anchor="_Toc214644713">
            <w:r w:rsidRPr="009B2599">
              <w:rPr>
                <w:rStyle w:val="Hyperlink"/>
                <w:rFonts w:cs="Arial"/>
                <w:caps/>
                <w:noProof/>
                <w:specVanish/>
              </w:rPr>
              <w:t>1.5</w:t>
            </w:r>
            <w:r>
              <w:rPr>
                <w:rFonts w:asciiTheme="minorHAnsi" w:hAnsiTheme="minorHAnsi" w:eastAsiaTheme="minorEastAsia"/>
                <w:noProof/>
                <w:sz w:val="24"/>
                <w:szCs w:val="24"/>
              </w:rPr>
              <w:tab/>
            </w:r>
            <w:r w:rsidRPr="009B2599">
              <w:rPr>
                <w:rStyle w:val="Hyperlink"/>
                <w:noProof/>
              </w:rPr>
              <w:t>Assumed</w:t>
            </w:r>
            <w:r w:rsidRPr="009B2599">
              <w:rPr>
                <w:rStyle w:val="Hyperlink"/>
                <w:rFonts w:cs="Arial"/>
                <w:noProof/>
              </w:rPr>
              <w:t xml:space="preserve"> </w:t>
            </w:r>
            <w:r w:rsidRPr="009B2599">
              <w:rPr>
                <w:rStyle w:val="Hyperlink"/>
                <w:noProof/>
              </w:rPr>
              <w:t>Liabilities.</w:t>
            </w:r>
            <w:r>
              <w:rPr>
                <w:noProof/>
                <w:webHidden/>
              </w:rPr>
              <w:tab/>
            </w:r>
            <w:r>
              <w:rPr>
                <w:noProof/>
                <w:webHidden/>
              </w:rPr>
              <w:fldChar w:fldCharType="begin"/>
            </w:r>
            <w:r>
              <w:rPr>
                <w:noProof/>
                <w:webHidden/>
              </w:rPr>
              <w:instrText xml:space="preserve"> PAGEREF _Toc214644713 \h </w:instrText>
            </w:r>
            <w:r>
              <w:rPr>
                <w:noProof/>
                <w:webHidden/>
              </w:rPr>
            </w:r>
            <w:r>
              <w:rPr>
                <w:noProof/>
                <w:webHidden/>
              </w:rPr>
              <w:fldChar w:fldCharType="separate"/>
            </w:r>
            <w:r>
              <w:rPr>
                <w:noProof/>
                <w:webHidden/>
              </w:rPr>
              <w:t>18</w:t>
            </w:r>
            <w:r>
              <w:rPr>
                <w:noProof/>
                <w:webHidden/>
              </w:rPr>
              <w:fldChar w:fldCharType="end"/>
            </w:r>
          </w:hyperlink>
        </w:p>
        <w:p w:rsidR="002B196E" w:rsidRDefault="002B196E" w14:paraId="05DDC60C" w14:textId="302A5B8A">
          <w:pPr>
            <w:pStyle w:val="TOC2"/>
            <w:tabs>
              <w:tab w:val="left" w:pos="1440"/>
            </w:tabs>
            <w:rPr>
              <w:rFonts w:asciiTheme="minorHAnsi" w:hAnsiTheme="minorHAnsi" w:eastAsiaTheme="minorEastAsia"/>
              <w:noProof/>
              <w:sz w:val="24"/>
              <w:szCs w:val="24"/>
            </w:rPr>
          </w:pPr>
          <w:hyperlink w:history="1" w:anchor="_Toc214644714">
            <w:r w:rsidRPr="009B2599">
              <w:rPr>
                <w:rStyle w:val="Hyperlink"/>
                <w:rFonts w:cs="Arial"/>
                <w:caps/>
                <w:noProof/>
                <w:specVanish/>
              </w:rPr>
              <w:t>1.6</w:t>
            </w:r>
            <w:r>
              <w:rPr>
                <w:rFonts w:asciiTheme="minorHAnsi" w:hAnsiTheme="minorHAnsi" w:eastAsiaTheme="minorEastAsia"/>
                <w:noProof/>
                <w:sz w:val="24"/>
                <w:szCs w:val="24"/>
              </w:rPr>
              <w:tab/>
            </w:r>
            <w:r w:rsidRPr="009B2599">
              <w:rPr>
                <w:rStyle w:val="Hyperlink"/>
                <w:noProof/>
              </w:rPr>
              <w:t>Purchase Price.</w:t>
            </w:r>
            <w:r>
              <w:rPr>
                <w:noProof/>
                <w:webHidden/>
              </w:rPr>
              <w:tab/>
            </w:r>
            <w:r>
              <w:rPr>
                <w:noProof/>
                <w:webHidden/>
              </w:rPr>
              <w:fldChar w:fldCharType="begin"/>
            </w:r>
            <w:r>
              <w:rPr>
                <w:noProof/>
                <w:webHidden/>
              </w:rPr>
              <w:instrText xml:space="preserve"> PAGEREF _Toc214644714 \h </w:instrText>
            </w:r>
            <w:r>
              <w:rPr>
                <w:noProof/>
                <w:webHidden/>
              </w:rPr>
            </w:r>
            <w:r>
              <w:rPr>
                <w:noProof/>
                <w:webHidden/>
              </w:rPr>
              <w:fldChar w:fldCharType="separate"/>
            </w:r>
            <w:r>
              <w:rPr>
                <w:noProof/>
                <w:webHidden/>
              </w:rPr>
              <w:t>18</w:t>
            </w:r>
            <w:r>
              <w:rPr>
                <w:noProof/>
                <w:webHidden/>
              </w:rPr>
              <w:fldChar w:fldCharType="end"/>
            </w:r>
          </w:hyperlink>
        </w:p>
        <w:p w:rsidR="002B196E" w:rsidRDefault="002B196E" w14:paraId="28037661" w14:textId="6BA9C253">
          <w:pPr>
            <w:pStyle w:val="TOC1"/>
            <w:rPr>
              <w:rFonts w:asciiTheme="minorHAnsi" w:hAnsiTheme="minorHAnsi" w:eastAsiaTheme="minorEastAsia"/>
              <w:b w:val="0"/>
              <w:caps w:val="0"/>
              <w:noProof/>
              <w:sz w:val="24"/>
              <w:szCs w:val="24"/>
            </w:rPr>
          </w:pPr>
          <w:hyperlink w:history="1" w:anchor="_Toc214644715">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2.</w:t>
            </w:r>
            <w:r>
              <w:rPr>
                <w:rFonts w:asciiTheme="minorHAnsi" w:hAnsiTheme="minorHAnsi" w:eastAsiaTheme="minorEastAsia"/>
                <w:b w:val="0"/>
                <w:caps w:val="0"/>
                <w:noProof/>
                <w:sz w:val="24"/>
                <w:szCs w:val="24"/>
              </w:rPr>
              <w:tab/>
            </w:r>
            <w:r w:rsidRPr="009B2599">
              <w:rPr>
                <w:rStyle w:val="Hyperlink"/>
                <w:noProof/>
              </w:rPr>
              <w:t>Closing; Purchase Price Adjustments; Purchase Price Allocation.</w:t>
            </w:r>
            <w:r>
              <w:rPr>
                <w:noProof/>
                <w:webHidden/>
              </w:rPr>
              <w:tab/>
            </w:r>
            <w:r>
              <w:rPr>
                <w:noProof/>
                <w:webHidden/>
              </w:rPr>
              <w:fldChar w:fldCharType="begin"/>
            </w:r>
            <w:r>
              <w:rPr>
                <w:noProof/>
                <w:webHidden/>
              </w:rPr>
              <w:instrText xml:space="preserve"> PAGEREF _Toc214644715 \h </w:instrText>
            </w:r>
            <w:r>
              <w:rPr>
                <w:noProof/>
                <w:webHidden/>
              </w:rPr>
            </w:r>
            <w:r>
              <w:rPr>
                <w:noProof/>
                <w:webHidden/>
              </w:rPr>
              <w:fldChar w:fldCharType="separate"/>
            </w:r>
            <w:r>
              <w:rPr>
                <w:noProof/>
                <w:webHidden/>
              </w:rPr>
              <w:t>19</w:t>
            </w:r>
            <w:r>
              <w:rPr>
                <w:noProof/>
                <w:webHidden/>
              </w:rPr>
              <w:fldChar w:fldCharType="end"/>
            </w:r>
          </w:hyperlink>
        </w:p>
        <w:p w:rsidR="002B196E" w:rsidRDefault="002B196E" w14:paraId="27E12DAC" w14:textId="536A6304">
          <w:pPr>
            <w:pStyle w:val="TOC2"/>
            <w:tabs>
              <w:tab w:val="left" w:pos="1440"/>
            </w:tabs>
            <w:rPr>
              <w:rFonts w:asciiTheme="minorHAnsi" w:hAnsiTheme="minorHAnsi" w:eastAsiaTheme="minorEastAsia"/>
              <w:noProof/>
              <w:sz w:val="24"/>
              <w:szCs w:val="24"/>
            </w:rPr>
          </w:pPr>
          <w:hyperlink w:history="1" w:anchor="_Toc214644716">
            <w:r w:rsidRPr="009B2599">
              <w:rPr>
                <w:rStyle w:val="Hyperlink"/>
                <w:rFonts w:cs="Arial"/>
                <w:caps/>
                <w:noProof/>
                <w:specVanish/>
              </w:rPr>
              <w:t>2.1</w:t>
            </w:r>
            <w:r>
              <w:rPr>
                <w:rFonts w:asciiTheme="minorHAnsi" w:hAnsiTheme="minorHAnsi" w:eastAsiaTheme="minorEastAsia"/>
                <w:noProof/>
                <w:sz w:val="24"/>
                <w:szCs w:val="24"/>
              </w:rPr>
              <w:tab/>
            </w:r>
            <w:r w:rsidRPr="009B2599">
              <w:rPr>
                <w:rStyle w:val="Hyperlink"/>
                <w:rFonts w:cs="Arial"/>
                <w:noProof/>
              </w:rPr>
              <w:t>Closing.</w:t>
            </w:r>
            <w:r>
              <w:rPr>
                <w:noProof/>
                <w:webHidden/>
              </w:rPr>
              <w:tab/>
            </w:r>
            <w:r>
              <w:rPr>
                <w:noProof/>
                <w:webHidden/>
              </w:rPr>
              <w:fldChar w:fldCharType="begin"/>
            </w:r>
            <w:r>
              <w:rPr>
                <w:noProof/>
                <w:webHidden/>
              </w:rPr>
              <w:instrText xml:space="preserve"> PAGEREF _Toc214644716 \h </w:instrText>
            </w:r>
            <w:r>
              <w:rPr>
                <w:noProof/>
                <w:webHidden/>
              </w:rPr>
            </w:r>
            <w:r>
              <w:rPr>
                <w:noProof/>
                <w:webHidden/>
              </w:rPr>
              <w:fldChar w:fldCharType="separate"/>
            </w:r>
            <w:r>
              <w:rPr>
                <w:noProof/>
                <w:webHidden/>
              </w:rPr>
              <w:t>19</w:t>
            </w:r>
            <w:r>
              <w:rPr>
                <w:noProof/>
                <w:webHidden/>
              </w:rPr>
              <w:fldChar w:fldCharType="end"/>
            </w:r>
          </w:hyperlink>
        </w:p>
        <w:p w:rsidR="002B196E" w:rsidRDefault="002B196E" w14:paraId="04A1EF70" w14:textId="55C8241D">
          <w:pPr>
            <w:pStyle w:val="TOC2"/>
            <w:tabs>
              <w:tab w:val="left" w:pos="1440"/>
            </w:tabs>
            <w:rPr>
              <w:rFonts w:asciiTheme="minorHAnsi" w:hAnsiTheme="minorHAnsi" w:eastAsiaTheme="minorEastAsia"/>
              <w:noProof/>
              <w:sz w:val="24"/>
              <w:szCs w:val="24"/>
            </w:rPr>
          </w:pPr>
          <w:hyperlink w:history="1" w:anchor="_Toc214644717">
            <w:r w:rsidRPr="009B2599">
              <w:rPr>
                <w:rStyle w:val="Hyperlink"/>
                <w:rFonts w:cs="Arial"/>
                <w:caps/>
                <w:noProof/>
                <w:specVanish/>
              </w:rPr>
              <w:t>2.2</w:t>
            </w:r>
            <w:r>
              <w:rPr>
                <w:rFonts w:asciiTheme="minorHAnsi" w:hAnsiTheme="minorHAnsi" w:eastAsiaTheme="minorEastAsia"/>
                <w:noProof/>
                <w:sz w:val="24"/>
                <w:szCs w:val="24"/>
              </w:rPr>
              <w:tab/>
            </w:r>
            <w:r w:rsidRPr="009B2599">
              <w:rPr>
                <w:rStyle w:val="Hyperlink"/>
                <w:rFonts w:cs="Arial"/>
                <w:noProof/>
              </w:rPr>
              <w:t>Working Capital Adjustment.</w:t>
            </w:r>
            <w:r>
              <w:rPr>
                <w:noProof/>
                <w:webHidden/>
              </w:rPr>
              <w:tab/>
            </w:r>
            <w:r>
              <w:rPr>
                <w:noProof/>
                <w:webHidden/>
              </w:rPr>
              <w:fldChar w:fldCharType="begin"/>
            </w:r>
            <w:r>
              <w:rPr>
                <w:noProof/>
                <w:webHidden/>
              </w:rPr>
              <w:instrText xml:space="preserve"> PAGEREF _Toc214644717 \h </w:instrText>
            </w:r>
            <w:r>
              <w:rPr>
                <w:noProof/>
                <w:webHidden/>
              </w:rPr>
            </w:r>
            <w:r>
              <w:rPr>
                <w:noProof/>
                <w:webHidden/>
              </w:rPr>
              <w:fldChar w:fldCharType="separate"/>
            </w:r>
            <w:r>
              <w:rPr>
                <w:noProof/>
                <w:webHidden/>
              </w:rPr>
              <w:t>19</w:t>
            </w:r>
            <w:r>
              <w:rPr>
                <w:noProof/>
                <w:webHidden/>
              </w:rPr>
              <w:fldChar w:fldCharType="end"/>
            </w:r>
          </w:hyperlink>
        </w:p>
        <w:p w:rsidR="002B196E" w:rsidRDefault="002B196E" w14:paraId="536B47E5" w14:textId="7886EB23">
          <w:pPr>
            <w:pStyle w:val="TOC2"/>
            <w:tabs>
              <w:tab w:val="left" w:pos="1440"/>
            </w:tabs>
            <w:rPr>
              <w:rFonts w:asciiTheme="minorHAnsi" w:hAnsiTheme="minorHAnsi" w:eastAsiaTheme="minorEastAsia"/>
              <w:noProof/>
              <w:sz w:val="24"/>
              <w:szCs w:val="24"/>
            </w:rPr>
          </w:pPr>
          <w:hyperlink w:history="1" w:anchor="_Toc214644718">
            <w:r w:rsidRPr="009B2599">
              <w:rPr>
                <w:rStyle w:val="Hyperlink"/>
                <w:rFonts w:cs="Arial"/>
                <w:caps/>
                <w:noProof/>
                <w:specVanish/>
              </w:rPr>
              <w:t>2.3</w:t>
            </w:r>
            <w:r>
              <w:rPr>
                <w:rFonts w:asciiTheme="minorHAnsi" w:hAnsiTheme="minorHAnsi" w:eastAsiaTheme="minorEastAsia"/>
                <w:noProof/>
                <w:sz w:val="24"/>
                <w:szCs w:val="24"/>
              </w:rPr>
              <w:tab/>
            </w:r>
            <w:r w:rsidRPr="009B2599">
              <w:rPr>
                <w:rStyle w:val="Hyperlink"/>
                <w:rFonts w:cs="Arial"/>
                <w:noProof/>
              </w:rPr>
              <w:t>Allocation of Purchase Price.</w:t>
            </w:r>
            <w:r>
              <w:rPr>
                <w:noProof/>
                <w:webHidden/>
              </w:rPr>
              <w:tab/>
            </w:r>
            <w:r>
              <w:rPr>
                <w:noProof/>
                <w:webHidden/>
              </w:rPr>
              <w:fldChar w:fldCharType="begin"/>
            </w:r>
            <w:r>
              <w:rPr>
                <w:noProof/>
                <w:webHidden/>
              </w:rPr>
              <w:instrText xml:space="preserve"> PAGEREF _Toc214644718 \h </w:instrText>
            </w:r>
            <w:r>
              <w:rPr>
                <w:noProof/>
                <w:webHidden/>
              </w:rPr>
            </w:r>
            <w:r>
              <w:rPr>
                <w:noProof/>
                <w:webHidden/>
              </w:rPr>
              <w:fldChar w:fldCharType="separate"/>
            </w:r>
            <w:r>
              <w:rPr>
                <w:noProof/>
                <w:webHidden/>
              </w:rPr>
              <w:t>21</w:t>
            </w:r>
            <w:r>
              <w:rPr>
                <w:noProof/>
                <w:webHidden/>
              </w:rPr>
              <w:fldChar w:fldCharType="end"/>
            </w:r>
          </w:hyperlink>
        </w:p>
        <w:p w:rsidR="002B196E" w:rsidRDefault="002B196E" w14:paraId="55B1FC79" w14:textId="35D7301F">
          <w:pPr>
            <w:pStyle w:val="TOC2"/>
            <w:tabs>
              <w:tab w:val="left" w:pos="1440"/>
            </w:tabs>
            <w:rPr>
              <w:rFonts w:asciiTheme="minorHAnsi" w:hAnsiTheme="minorHAnsi" w:eastAsiaTheme="minorEastAsia"/>
              <w:noProof/>
              <w:sz w:val="24"/>
              <w:szCs w:val="24"/>
            </w:rPr>
          </w:pPr>
          <w:hyperlink w:history="1" w:anchor="_Toc214644719">
            <w:r w:rsidRPr="009B2599">
              <w:rPr>
                <w:rStyle w:val="Hyperlink"/>
                <w:rFonts w:cs="Arial"/>
                <w:caps/>
                <w:noProof/>
                <w:specVanish/>
              </w:rPr>
              <w:t>2.4</w:t>
            </w:r>
            <w:r>
              <w:rPr>
                <w:rFonts w:asciiTheme="minorHAnsi" w:hAnsiTheme="minorHAnsi" w:eastAsiaTheme="minorEastAsia"/>
                <w:noProof/>
                <w:sz w:val="24"/>
                <w:szCs w:val="24"/>
              </w:rPr>
              <w:tab/>
            </w:r>
            <w:r w:rsidRPr="009B2599">
              <w:rPr>
                <w:rStyle w:val="Hyperlink"/>
                <w:rFonts w:cs="Arial"/>
                <w:noProof/>
              </w:rPr>
              <w:t>Withholding.</w:t>
            </w:r>
            <w:r>
              <w:rPr>
                <w:noProof/>
                <w:webHidden/>
              </w:rPr>
              <w:tab/>
            </w:r>
            <w:r>
              <w:rPr>
                <w:noProof/>
                <w:webHidden/>
              </w:rPr>
              <w:fldChar w:fldCharType="begin"/>
            </w:r>
            <w:r>
              <w:rPr>
                <w:noProof/>
                <w:webHidden/>
              </w:rPr>
              <w:instrText xml:space="preserve"> PAGEREF _Toc214644719 \h </w:instrText>
            </w:r>
            <w:r>
              <w:rPr>
                <w:noProof/>
                <w:webHidden/>
              </w:rPr>
            </w:r>
            <w:r>
              <w:rPr>
                <w:noProof/>
                <w:webHidden/>
              </w:rPr>
              <w:fldChar w:fldCharType="separate"/>
            </w:r>
            <w:r>
              <w:rPr>
                <w:noProof/>
                <w:webHidden/>
              </w:rPr>
              <w:t>22</w:t>
            </w:r>
            <w:r>
              <w:rPr>
                <w:noProof/>
                <w:webHidden/>
              </w:rPr>
              <w:fldChar w:fldCharType="end"/>
            </w:r>
          </w:hyperlink>
        </w:p>
        <w:p w:rsidR="002B196E" w:rsidRDefault="002B196E" w14:paraId="282F9775" w14:textId="7E3483E8">
          <w:pPr>
            <w:pStyle w:val="TOC1"/>
            <w:rPr>
              <w:rFonts w:asciiTheme="minorHAnsi" w:hAnsiTheme="minorHAnsi" w:eastAsiaTheme="minorEastAsia"/>
              <w:b w:val="0"/>
              <w:caps w:val="0"/>
              <w:noProof/>
              <w:sz w:val="24"/>
              <w:szCs w:val="24"/>
            </w:rPr>
          </w:pPr>
          <w:hyperlink w:history="1" w:anchor="_Toc214644720">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3.</w:t>
            </w:r>
            <w:r>
              <w:rPr>
                <w:rFonts w:asciiTheme="minorHAnsi" w:hAnsiTheme="minorHAnsi" w:eastAsiaTheme="minorEastAsia"/>
                <w:b w:val="0"/>
                <w:caps w:val="0"/>
                <w:noProof/>
                <w:sz w:val="24"/>
                <w:szCs w:val="24"/>
              </w:rPr>
              <w:tab/>
            </w:r>
            <w:r w:rsidRPr="009B2599">
              <w:rPr>
                <w:rStyle w:val="Hyperlink"/>
                <w:noProof/>
              </w:rPr>
              <w:t>Representations and Warranties of Seller</w:t>
            </w:r>
            <w:r>
              <w:rPr>
                <w:noProof/>
                <w:webHidden/>
              </w:rPr>
              <w:tab/>
            </w:r>
            <w:r>
              <w:rPr>
                <w:noProof/>
                <w:webHidden/>
              </w:rPr>
              <w:fldChar w:fldCharType="begin"/>
            </w:r>
            <w:r>
              <w:rPr>
                <w:noProof/>
                <w:webHidden/>
              </w:rPr>
              <w:instrText xml:space="preserve"> PAGEREF _Toc214644720 \h </w:instrText>
            </w:r>
            <w:r>
              <w:rPr>
                <w:noProof/>
                <w:webHidden/>
              </w:rPr>
            </w:r>
            <w:r>
              <w:rPr>
                <w:noProof/>
                <w:webHidden/>
              </w:rPr>
              <w:fldChar w:fldCharType="separate"/>
            </w:r>
            <w:r>
              <w:rPr>
                <w:noProof/>
                <w:webHidden/>
              </w:rPr>
              <w:t>22</w:t>
            </w:r>
            <w:r>
              <w:rPr>
                <w:noProof/>
                <w:webHidden/>
              </w:rPr>
              <w:fldChar w:fldCharType="end"/>
            </w:r>
          </w:hyperlink>
        </w:p>
        <w:p w:rsidR="002B196E" w:rsidRDefault="002B196E" w14:paraId="44D233C1" w14:textId="2A8C40EB">
          <w:pPr>
            <w:pStyle w:val="TOC2"/>
            <w:tabs>
              <w:tab w:val="left" w:pos="1440"/>
            </w:tabs>
            <w:rPr>
              <w:rFonts w:asciiTheme="minorHAnsi" w:hAnsiTheme="minorHAnsi" w:eastAsiaTheme="minorEastAsia"/>
              <w:noProof/>
              <w:sz w:val="24"/>
              <w:szCs w:val="24"/>
            </w:rPr>
          </w:pPr>
          <w:hyperlink w:history="1" w:anchor="_Toc214644721">
            <w:r w:rsidRPr="009B2599">
              <w:rPr>
                <w:rStyle w:val="Hyperlink"/>
                <w:rFonts w:cs="Arial"/>
                <w:caps/>
                <w:noProof/>
              </w:rPr>
              <w:t>3.1</w:t>
            </w:r>
            <w:r>
              <w:rPr>
                <w:rFonts w:asciiTheme="minorHAnsi" w:hAnsiTheme="minorHAnsi" w:eastAsiaTheme="minorEastAsia"/>
                <w:noProof/>
                <w:sz w:val="24"/>
                <w:szCs w:val="24"/>
              </w:rPr>
              <w:tab/>
            </w:r>
            <w:r w:rsidRPr="009B2599">
              <w:rPr>
                <w:rStyle w:val="Hyperlink"/>
                <w:rFonts w:cs="Arial"/>
                <w:noProof/>
              </w:rPr>
              <w:t>Organization; Existence; Limited Purpose.</w:t>
            </w:r>
            <w:r>
              <w:rPr>
                <w:noProof/>
                <w:webHidden/>
              </w:rPr>
              <w:tab/>
            </w:r>
            <w:r>
              <w:rPr>
                <w:noProof/>
                <w:webHidden/>
              </w:rPr>
              <w:fldChar w:fldCharType="begin"/>
            </w:r>
            <w:r>
              <w:rPr>
                <w:noProof/>
                <w:webHidden/>
              </w:rPr>
              <w:instrText xml:space="preserve"> PAGEREF _Toc214644721 \h </w:instrText>
            </w:r>
            <w:r>
              <w:rPr>
                <w:noProof/>
                <w:webHidden/>
              </w:rPr>
            </w:r>
            <w:r>
              <w:rPr>
                <w:noProof/>
                <w:webHidden/>
              </w:rPr>
              <w:fldChar w:fldCharType="separate"/>
            </w:r>
            <w:r>
              <w:rPr>
                <w:noProof/>
                <w:webHidden/>
              </w:rPr>
              <w:t>22</w:t>
            </w:r>
            <w:r>
              <w:rPr>
                <w:noProof/>
                <w:webHidden/>
              </w:rPr>
              <w:fldChar w:fldCharType="end"/>
            </w:r>
          </w:hyperlink>
        </w:p>
        <w:p w:rsidR="002B196E" w:rsidRDefault="002B196E" w14:paraId="4F183B32" w14:textId="4E085D79">
          <w:pPr>
            <w:pStyle w:val="TOC2"/>
            <w:tabs>
              <w:tab w:val="left" w:pos="1440"/>
            </w:tabs>
            <w:rPr>
              <w:rFonts w:asciiTheme="minorHAnsi" w:hAnsiTheme="minorHAnsi" w:eastAsiaTheme="minorEastAsia"/>
              <w:noProof/>
              <w:sz w:val="24"/>
              <w:szCs w:val="24"/>
            </w:rPr>
          </w:pPr>
          <w:hyperlink w:history="1" w:anchor="_Toc214644722">
            <w:r w:rsidRPr="009B2599">
              <w:rPr>
                <w:rStyle w:val="Hyperlink"/>
                <w:rFonts w:cs="Arial"/>
                <w:caps/>
                <w:noProof/>
                <w:specVanish/>
              </w:rPr>
              <w:t>3.2</w:t>
            </w:r>
            <w:r>
              <w:rPr>
                <w:rFonts w:asciiTheme="minorHAnsi" w:hAnsiTheme="minorHAnsi" w:eastAsiaTheme="minorEastAsia"/>
                <w:noProof/>
                <w:sz w:val="24"/>
                <w:szCs w:val="24"/>
              </w:rPr>
              <w:tab/>
            </w:r>
            <w:r w:rsidRPr="009B2599">
              <w:rPr>
                <w:rStyle w:val="Hyperlink"/>
                <w:rFonts w:cs="Arial"/>
                <w:noProof/>
              </w:rPr>
              <w:t>Authorization; Enforceability.</w:t>
            </w:r>
            <w:r>
              <w:rPr>
                <w:noProof/>
                <w:webHidden/>
              </w:rPr>
              <w:tab/>
            </w:r>
            <w:r>
              <w:rPr>
                <w:noProof/>
                <w:webHidden/>
              </w:rPr>
              <w:fldChar w:fldCharType="begin"/>
            </w:r>
            <w:r>
              <w:rPr>
                <w:noProof/>
                <w:webHidden/>
              </w:rPr>
              <w:instrText xml:space="preserve"> PAGEREF _Toc214644722 \h </w:instrText>
            </w:r>
            <w:r>
              <w:rPr>
                <w:noProof/>
                <w:webHidden/>
              </w:rPr>
            </w:r>
            <w:r>
              <w:rPr>
                <w:noProof/>
                <w:webHidden/>
              </w:rPr>
              <w:fldChar w:fldCharType="separate"/>
            </w:r>
            <w:r>
              <w:rPr>
                <w:noProof/>
                <w:webHidden/>
              </w:rPr>
              <w:t>22</w:t>
            </w:r>
            <w:r>
              <w:rPr>
                <w:noProof/>
                <w:webHidden/>
              </w:rPr>
              <w:fldChar w:fldCharType="end"/>
            </w:r>
          </w:hyperlink>
        </w:p>
        <w:p w:rsidR="002B196E" w:rsidRDefault="002B196E" w14:paraId="6FA3BCF6" w14:textId="65FF1437">
          <w:pPr>
            <w:pStyle w:val="TOC2"/>
            <w:tabs>
              <w:tab w:val="left" w:pos="1440"/>
            </w:tabs>
            <w:rPr>
              <w:rFonts w:asciiTheme="minorHAnsi" w:hAnsiTheme="minorHAnsi" w:eastAsiaTheme="minorEastAsia"/>
              <w:noProof/>
              <w:sz w:val="24"/>
              <w:szCs w:val="24"/>
            </w:rPr>
          </w:pPr>
          <w:hyperlink w:history="1" w:anchor="_Toc214644723">
            <w:r w:rsidRPr="009B2599">
              <w:rPr>
                <w:rStyle w:val="Hyperlink"/>
                <w:rFonts w:cs="Arial"/>
                <w:caps/>
                <w:noProof/>
                <w:specVanish/>
              </w:rPr>
              <w:t>3.3</w:t>
            </w:r>
            <w:r>
              <w:rPr>
                <w:rFonts w:asciiTheme="minorHAnsi" w:hAnsiTheme="minorHAnsi" w:eastAsiaTheme="minorEastAsia"/>
                <w:noProof/>
                <w:sz w:val="24"/>
                <w:szCs w:val="24"/>
              </w:rPr>
              <w:tab/>
            </w:r>
            <w:r w:rsidRPr="009B2599">
              <w:rPr>
                <w:rStyle w:val="Hyperlink"/>
                <w:rFonts w:cs="Arial"/>
                <w:noProof/>
              </w:rPr>
              <w:t>No Conflicts.</w:t>
            </w:r>
            <w:r>
              <w:rPr>
                <w:noProof/>
                <w:webHidden/>
              </w:rPr>
              <w:tab/>
            </w:r>
            <w:r>
              <w:rPr>
                <w:noProof/>
                <w:webHidden/>
              </w:rPr>
              <w:fldChar w:fldCharType="begin"/>
            </w:r>
            <w:r>
              <w:rPr>
                <w:noProof/>
                <w:webHidden/>
              </w:rPr>
              <w:instrText xml:space="preserve"> PAGEREF _Toc214644723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7795145D" w14:textId="68DC9B58">
          <w:pPr>
            <w:pStyle w:val="TOC2"/>
            <w:tabs>
              <w:tab w:val="left" w:pos="1440"/>
            </w:tabs>
            <w:rPr>
              <w:rFonts w:asciiTheme="minorHAnsi" w:hAnsiTheme="minorHAnsi" w:eastAsiaTheme="minorEastAsia"/>
              <w:noProof/>
              <w:sz w:val="24"/>
              <w:szCs w:val="24"/>
            </w:rPr>
          </w:pPr>
          <w:hyperlink w:history="1" w:anchor="_Toc214644724">
            <w:r w:rsidRPr="009B2599">
              <w:rPr>
                <w:rStyle w:val="Hyperlink"/>
                <w:rFonts w:cs="Arial"/>
                <w:caps/>
                <w:noProof/>
                <w:specVanish/>
              </w:rPr>
              <w:t>3.4</w:t>
            </w:r>
            <w:r>
              <w:rPr>
                <w:rFonts w:asciiTheme="minorHAnsi" w:hAnsiTheme="minorHAnsi" w:eastAsiaTheme="minorEastAsia"/>
                <w:noProof/>
                <w:sz w:val="24"/>
                <w:szCs w:val="24"/>
              </w:rPr>
              <w:tab/>
            </w:r>
            <w:r w:rsidRPr="009B2599">
              <w:rPr>
                <w:rStyle w:val="Hyperlink"/>
                <w:rFonts w:cs="Arial"/>
                <w:noProof/>
              </w:rPr>
              <w:t>Governmental Consents.</w:t>
            </w:r>
            <w:r>
              <w:rPr>
                <w:noProof/>
                <w:webHidden/>
              </w:rPr>
              <w:tab/>
            </w:r>
            <w:r>
              <w:rPr>
                <w:noProof/>
                <w:webHidden/>
              </w:rPr>
              <w:fldChar w:fldCharType="begin"/>
            </w:r>
            <w:r>
              <w:rPr>
                <w:noProof/>
                <w:webHidden/>
              </w:rPr>
              <w:instrText xml:space="preserve"> PAGEREF _Toc214644724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2D3B1C50" w14:textId="2BD7D523">
          <w:pPr>
            <w:pStyle w:val="TOC2"/>
            <w:tabs>
              <w:tab w:val="left" w:pos="1440"/>
            </w:tabs>
            <w:rPr>
              <w:rFonts w:asciiTheme="minorHAnsi" w:hAnsiTheme="minorHAnsi" w:eastAsiaTheme="minorEastAsia"/>
              <w:noProof/>
              <w:sz w:val="24"/>
              <w:szCs w:val="24"/>
            </w:rPr>
          </w:pPr>
          <w:hyperlink w:history="1" w:anchor="_Toc214644725">
            <w:r w:rsidRPr="009B2599">
              <w:rPr>
                <w:rStyle w:val="Hyperlink"/>
                <w:rFonts w:cs="Arial"/>
                <w:caps/>
                <w:noProof/>
                <w:specVanish/>
              </w:rPr>
              <w:t>3.5</w:t>
            </w:r>
            <w:r>
              <w:rPr>
                <w:rFonts w:asciiTheme="minorHAnsi" w:hAnsiTheme="minorHAnsi" w:eastAsiaTheme="minorEastAsia"/>
                <w:noProof/>
                <w:sz w:val="24"/>
                <w:szCs w:val="24"/>
              </w:rPr>
              <w:tab/>
            </w:r>
            <w:r w:rsidRPr="009B2599">
              <w:rPr>
                <w:rStyle w:val="Hyperlink"/>
                <w:rFonts w:cs="Arial"/>
                <w:noProof/>
              </w:rPr>
              <w:t>Books and Records.</w:t>
            </w:r>
            <w:r>
              <w:rPr>
                <w:noProof/>
                <w:webHidden/>
              </w:rPr>
              <w:tab/>
            </w:r>
            <w:r>
              <w:rPr>
                <w:noProof/>
                <w:webHidden/>
              </w:rPr>
              <w:fldChar w:fldCharType="begin"/>
            </w:r>
            <w:r>
              <w:rPr>
                <w:noProof/>
                <w:webHidden/>
              </w:rPr>
              <w:instrText xml:space="preserve"> PAGEREF _Toc214644725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4FB9EB86" w14:textId="4DC2E7DD">
          <w:pPr>
            <w:pStyle w:val="TOC2"/>
            <w:tabs>
              <w:tab w:val="left" w:pos="1440"/>
            </w:tabs>
            <w:rPr>
              <w:rFonts w:asciiTheme="minorHAnsi" w:hAnsiTheme="minorHAnsi" w:eastAsiaTheme="minorEastAsia"/>
              <w:noProof/>
              <w:sz w:val="24"/>
              <w:szCs w:val="24"/>
            </w:rPr>
          </w:pPr>
          <w:hyperlink w:history="1" w:anchor="_Toc214644726">
            <w:r w:rsidRPr="009B2599">
              <w:rPr>
                <w:rStyle w:val="Hyperlink"/>
                <w:rFonts w:cs="Arial"/>
                <w:caps/>
                <w:noProof/>
                <w:specVanish/>
              </w:rPr>
              <w:t>3.6</w:t>
            </w:r>
            <w:r>
              <w:rPr>
                <w:rFonts w:asciiTheme="minorHAnsi" w:hAnsiTheme="minorHAnsi" w:eastAsiaTheme="minorEastAsia"/>
                <w:noProof/>
                <w:sz w:val="24"/>
                <w:szCs w:val="24"/>
              </w:rPr>
              <w:tab/>
            </w:r>
            <w:r w:rsidRPr="009B2599">
              <w:rPr>
                <w:rStyle w:val="Hyperlink"/>
                <w:rFonts w:cs="Arial"/>
                <w:noProof/>
              </w:rPr>
              <w:t>Bank Accounts.</w:t>
            </w:r>
            <w:r>
              <w:rPr>
                <w:noProof/>
                <w:webHidden/>
              </w:rPr>
              <w:tab/>
            </w:r>
            <w:r>
              <w:rPr>
                <w:noProof/>
                <w:webHidden/>
              </w:rPr>
              <w:fldChar w:fldCharType="begin"/>
            </w:r>
            <w:r>
              <w:rPr>
                <w:noProof/>
                <w:webHidden/>
              </w:rPr>
              <w:instrText xml:space="preserve"> PAGEREF _Toc214644726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2A8D51F1" w14:textId="1AA2833A">
          <w:pPr>
            <w:pStyle w:val="TOC2"/>
            <w:tabs>
              <w:tab w:val="left" w:pos="1440"/>
            </w:tabs>
            <w:rPr>
              <w:rFonts w:asciiTheme="minorHAnsi" w:hAnsiTheme="minorHAnsi" w:eastAsiaTheme="minorEastAsia"/>
              <w:noProof/>
              <w:sz w:val="24"/>
              <w:szCs w:val="24"/>
            </w:rPr>
          </w:pPr>
          <w:hyperlink w:history="1" w:anchor="_Toc214644727">
            <w:r w:rsidRPr="009B2599">
              <w:rPr>
                <w:rStyle w:val="Hyperlink"/>
                <w:rFonts w:cs="Arial"/>
                <w:caps/>
                <w:noProof/>
                <w:specVanish/>
              </w:rPr>
              <w:t>3.7</w:t>
            </w:r>
            <w:r>
              <w:rPr>
                <w:rFonts w:asciiTheme="minorHAnsi" w:hAnsiTheme="minorHAnsi" w:eastAsiaTheme="minorEastAsia"/>
                <w:noProof/>
                <w:sz w:val="24"/>
                <w:szCs w:val="24"/>
              </w:rPr>
              <w:tab/>
            </w:r>
            <w:r w:rsidRPr="009B2599">
              <w:rPr>
                <w:rStyle w:val="Hyperlink"/>
                <w:rFonts w:cs="Arial"/>
                <w:noProof/>
              </w:rPr>
              <w:t>Legal Proceedings.</w:t>
            </w:r>
            <w:r>
              <w:rPr>
                <w:noProof/>
                <w:webHidden/>
              </w:rPr>
              <w:tab/>
            </w:r>
            <w:r>
              <w:rPr>
                <w:noProof/>
                <w:webHidden/>
              </w:rPr>
              <w:fldChar w:fldCharType="begin"/>
            </w:r>
            <w:r>
              <w:rPr>
                <w:noProof/>
                <w:webHidden/>
              </w:rPr>
              <w:instrText xml:space="preserve"> PAGEREF _Toc214644727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0A8D515D" w14:textId="44B505FE">
          <w:pPr>
            <w:pStyle w:val="TOC2"/>
            <w:tabs>
              <w:tab w:val="left" w:pos="1440"/>
            </w:tabs>
            <w:rPr>
              <w:rFonts w:asciiTheme="minorHAnsi" w:hAnsiTheme="minorHAnsi" w:eastAsiaTheme="minorEastAsia"/>
              <w:noProof/>
              <w:sz w:val="24"/>
              <w:szCs w:val="24"/>
            </w:rPr>
          </w:pPr>
          <w:hyperlink w:history="1" w:anchor="_Toc214644728">
            <w:r w:rsidRPr="009B2599">
              <w:rPr>
                <w:rStyle w:val="Hyperlink"/>
                <w:rFonts w:cs="Arial"/>
                <w:caps/>
                <w:noProof/>
                <w:specVanish/>
              </w:rPr>
              <w:t>3.8</w:t>
            </w:r>
            <w:r>
              <w:rPr>
                <w:rFonts w:asciiTheme="minorHAnsi" w:hAnsiTheme="minorHAnsi" w:eastAsiaTheme="minorEastAsia"/>
                <w:noProof/>
                <w:sz w:val="24"/>
                <w:szCs w:val="24"/>
              </w:rPr>
              <w:tab/>
            </w:r>
            <w:r w:rsidRPr="009B2599">
              <w:rPr>
                <w:rStyle w:val="Hyperlink"/>
                <w:rFonts w:cs="Arial"/>
                <w:noProof/>
              </w:rPr>
              <w:t>Compliance with Law.</w:t>
            </w:r>
            <w:r>
              <w:rPr>
                <w:noProof/>
                <w:webHidden/>
              </w:rPr>
              <w:tab/>
            </w:r>
            <w:r>
              <w:rPr>
                <w:noProof/>
                <w:webHidden/>
              </w:rPr>
              <w:fldChar w:fldCharType="begin"/>
            </w:r>
            <w:r>
              <w:rPr>
                <w:noProof/>
                <w:webHidden/>
              </w:rPr>
              <w:instrText xml:space="preserve"> PAGEREF _Toc214644728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6A7702D9" w14:textId="5A553947">
          <w:pPr>
            <w:pStyle w:val="TOC2"/>
            <w:tabs>
              <w:tab w:val="left" w:pos="1440"/>
            </w:tabs>
            <w:rPr>
              <w:rFonts w:asciiTheme="minorHAnsi" w:hAnsiTheme="minorHAnsi" w:eastAsiaTheme="minorEastAsia"/>
              <w:noProof/>
              <w:sz w:val="24"/>
              <w:szCs w:val="24"/>
            </w:rPr>
          </w:pPr>
          <w:hyperlink w:history="1" w:anchor="_Toc214644729">
            <w:r w:rsidRPr="009B2599">
              <w:rPr>
                <w:rStyle w:val="Hyperlink"/>
                <w:rFonts w:cs="Arial"/>
                <w:caps/>
                <w:noProof/>
              </w:rPr>
              <w:t>3.9</w:t>
            </w:r>
            <w:r>
              <w:rPr>
                <w:rFonts w:asciiTheme="minorHAnsi" w:hAnsiTheme="minorHAnsi" w:eastAsiaTheme="minorEastAsia"/>
                <w:noProof/>
                <w:sz w:val="24"/>
                <w:szCs w:val="24"/>
              </w:rPr>
              <w:tab/>
            </w:r>
            <w:r w:rsidRPr="009B2599">
              <w:rPr>
                <w:rStyle w:val="Hyperlink"/>
                <w:rFonts w:cs="Arial"/>
                <w:noProof/>
              </w:rPr>
              <w:t>Permits.</w:t>
            </w:r>
            <w:r>
              <w:rPr>
                <w:noProof/>
                <w:webHidden/>
              </w:rPr>
              <w:tab/>
            </w:r>
            <w:r>
              <w:rPr>
                <w:noProof/>
                <w:webHidden/>
              </w:rPr>
              <w:fldChar w:fldCharType="begin"/>
            </w:r>
            <w:r>
              <w:rPr>
                <w:noProof/>
                <w:webHidden/>
              </w:rPr>
              <w:instrText xml:space="preserve"> PAGEREF _Toc214644729 \h </w:instrText>
            </w:r>
            <w:r>
              <w:rPr>
                <w:noProof/>
                <w:webHidden/>
              </w:rPr>
            </w:r>
            <w:r>
              <w:rPr>
                <w:noProof/>
                <w:webHidden/>
              </w:rPr>
              <w:fldChar w:fldCharType="separate"/>
            </w:r>
            <w:r>
              <w:rPr>
                <w:noProof/>
                <w:webHidden/>
              </w:rPr>
              <w:t>23</w:t>
            </w:r>
            <w:r>
              <w:rPr>
                <w:noProof/>
                <w:webHidden/>
              </w:rPr>
              <w:fldChar w:fldCharType="end"/>
            </w:r>
          </w:hyperlink>
        </w:p>
        <w:p w:rsidR="002B196E" w:rsidRDefault="002B196E" w14:paraId="72B52329" w14:textId="51DD989F">
          <w:pPr>
            <w:pStyle w:val="TOC2"/>
            <w:tabs>
              <w:tab w:val="left" w:pos="1440"/>
            </w:tabs>
            <w:rPr>
              <w:rFonts w:asciiTheme="minorHAnsi" w:hAnsiTheme="minorHAnsi" w:eastAsiaTheme="minorEastAsia"/>
              <w:noProof/>
              <w:sz w:val="24"/>
              <w:szCs w:val="24"/>
            </w:rPr>
          </w:pPr>
          <w:hyperlink w:history="1" w:anchor="_Toc214644730">
            <w:r w:rsidRPr="009B2599">
              <w:rPr>
                <w:rStyle w:val="Hyperlink"/>
                <w:rFonts w:cs="Arial"/>
                <w:caps/>
                <w:noProof/>
              </w:rPr>
              <w:t>3.10</w:t>
            </w:r>
            <w:r>
              <w:rPr>
                <w:rFonts w:asciiTheme="minorHAnsi" w:hAnsiTheme="minorHAnsi" w:eastAsiaTheme="minorEastAsia"/>
                <w:noProof/>
                <w:sz w:val="24"/>
                <w:szCs w:val="24"/>
              </w:rPr>
              <w:tab/>
            </w:r>
            <w:r w:rsidRPr="009B2599">
              <w:rPr>
                <w:rStyle w:val="Hyperlink"/>
                <w:rFonts w:cs="Arial"/>
                <w:noProof/>
              </w:rPr>
              <w:t>Environmental Matters.</w:t>
            </w:r>
            <w:r>
              <w:rPr>
                <w:noProof/>
                <w:webHidden/>
              </w:rPr>
              <w:tab/>
            </w:r>
            <w:r>
              <w:rPr>
                <w:noProof/>
                <w:webHidden/>
              </w:rPr>
              <w:fldChar w:fldCharType="begin"/>
            </w:r>
            <w:r>
              <w:rPr>
                <w:noProof/>
                <w:webHidden/>
              </w:rPr>
              <w:instrText xml:space="preserve"> PAGEREF _Toc214644730 \h </w:instrText>
            </w:r>
            <w:r>
              <w:rPr>
                <w:noProof/>
                <w:webHidden/>
              </w:rPr>
            </w:r>
            <w:r>
              <w:rPr>
                <w:noProof/>
                <w:webHidden/>
              </w:rPr>
              <w:fldChar w:fldCharType="separate"/>
            </w:r>
            <w:r>
              <w:rPr>
                <w:noProof/>
                <w:webHidden/>
              </w:rPr>
              <w:t>24</w:t>
            </w:r>
            <w:r>
              <w:rPr>
                <w:noProof/>
                <w:webHidden/>
              </w:rPr>
              <w:fldChar w:fldCharType="end"/>
            </w:r>
          </w:hyperlink>
        </w:p>
        <w:p w:rsidR="002B196E" w:rsidRDefault="002B196E" w14:paraId="2A12BE0D" w14:textId="32674A76">
          <w:pPr>
            <w:pStyle w:val="TOC2"/>
            <w:tabs>
              <w:tab w:val="left" w:pos="1440"/>
            </w:tabs>
            <w:rPr>
              <w:rFonts w:asciiTheme="minorHAnsi" w:hAnsiTheme="minorHAnsi" w:eastAsiaTheme="minorEastAsia"/>
              <w:noProof/>
              <w:sz w:val="24"/>
              <w:szCs w:val="24"/>
            </w:rPr>
          </w:pPr>
          <w:hyperlink w:history="1" w:anchor="_Toc214644731">
            <w:r w:rsidRPr="009B2599">
              <w:rPr>
                <w:rStyle w:val="Hyperlink"/>
                <w:rFonts w:cs="Arial"/>
                <w:caps/>
                <w:noProof/>
              </w:rPr>
              <w:t>3.11</w:t>
            </w:r>
            <w:r>
              <w:rPr>
                <w:rFonts w:asciiTheme="minorHAnsi" w:hAnsiTheme="minorHAnsi" w:eastAsiaTheme="minorEastAsia"/>
                <w:noProof/>
                <w:sz w:val="24"/>
                <w:szCs w:val="24"/>
              </w:rPr>
              <w:tab/>
            </w:r>
            <w:r w:rsidRPr="009B2599">
              <w:rPr>
                <w:rStyle w:val="Hyperlink"/>
                <w:rFonts w:cs="Arial"/>
                <w:noProof/>
              </w:rPr>
              <w:t>Facility Contracts.</w:t>
            </w:r>
            <w:r>
              <w:rPr>
                <w:noProof/>
                <w:webHidden/>
              </w:rPr>
              <w:tab/>
            </w:r>
            <w:r>
              <w:rPr>
                <w:noProof/>
                <w:webHidden/>
              </w:rPr>
              <w:fldChar w:fldCharType="begin"/>
            </w:r>
            <w:r>
              <w:rPr>
                <w:noProof/>
                <w:webHidden/>
              </w:rPr>
              <w:instrText xml:space="preserve"> PAGEREF _Toc214644731 \h </w:instrText>
            </w:r>
            <w:r>
              <w:rPr>
                <w:noProof/>
                <w:webHidden/>
              </w:rPr>
            </w:r>
            <w:r>
              <w:rPr>
                <w:noProof/>
                <w:webHidden/>
              </w:rPr>
              <w:fldChar w:fldCharType="separate"/>
            </w:r>
            <w:r>
              <w:rPr>
                <w:noProof/>
                <w:webHidden/>
              </w:rPr>
              <w:t>25</w:t>
            </w:r>
            <w:r>
              <w:rPr>
                <w:noProof/>
                <w:webHidden/>
              </w:rPr>
              <w:fldChar w:fldCharType="end"/>
            </w:r>
          </w:hyperlink>
        </w:p>
        <w:p w:rsidR="002B196E" w:rsidRDefault="002B196E" w14:paraId="2C11D0C4" w14:textId="07897AAC">
          <w:pPr>
            <w:pStyle w:val="TOC2"/>
            <w:tabs>
              <w:tab w:val="left" w:pos="1440"/>
            </w:tabs>
            <w:rPr>
              <w:rFonts w:asciiTheme="minorHAnsi" w:hAnsiTheme="minorHAnsi" w:eastAsiaTheme="minorEastAsia"/>
              <w:noProof/>
              <w:sz w:val="24"/>
              <w:szCs w:val="24"/>
            </w:rPr>
          </w:pPr>
          <w:hyperlink w:history="1" w:anchor="_Toc214644732">
            <w:r w:rsidRPr="009B2599">
              <w:rPr>
                <w:rStyle w:val="Hyperlink"/>
                <w:rFonts w:cs="Arial"/>
                <w:caps/>
                <w:noProof/>
              </w:rPr>
              <w:t>3.12</w:t>
            </w:r>
            <w:r>
              <w:rPr>
                <w:rFonts w:asciiTheme="minorHAnsi" w:hAnsiTheme="minorHAnsi" w:eastAsiaTheme="minorEastAsia"/>
                <w:noProof/>
                <w:sz w:val="24"/>
                <w:szCs w:val="24"/>
              </w:rPr>
              <w:tab/>
            </w:r>
            <w:r w:rsidRPr="009B2599">
              <w:rPr>
                <w:rStyle w:val="Hyperlink"/>
                <w:rFonts w:cs="Arial"/>
                <w:noProof/>
              </w:rPr>
              <w:t>Real Property.</w:t>
            </w:r>
            <w:r>
              <w:rPr>
                <w:noProof/>
                <w:webHidden/>
              </w:rPr>
              <w:tab/>
            </w:r>
            <w:r>
              <w:rPr>
                <w:noProof/>
                <w:webHidden/>
              </w:rPr>
              <w:fldChar w:fldCharType="begin"/>
            </w:r>
            <w:r>
              <w:rPr>
                <w:noProof/>
                <w:webHidden/>
              </w:rPr>
              <w:instrText xml:space="preserve"> PAGEREF _Toc214644732 \h </w:instrText>
            </w:r>
            <w:r>
              <w:rPr>
                <w:noProof/>
                <w:webHidden/>
              </w:rPr>
            </w:r>
            <w:r>
              <w:rPr>
                <w:noProof/>
                <w:webHidden/>
              </w:rPr>
              <w:fldChar w:fldCharType="separate"/>
            </w:r>
            <w:r>
              <w:rPr>
                <w:noProof/>
                <w:webHidden/>
              </w:rPr>
              <w:t>26</w:t>
            </w:r>
            <w:r>
              <w:rPr>
                <w:noProof/>
                <w:webHidden/>
              </w:rPr>
              <w:fldChar w:fldCharType="end"/>
            </w:r>
          </w:hyperlink>
        </w:p>
        <w:p w:rsidR="002B196E" w:rsidRDefault="002B196E" w14:paraId="4282B317" w14:textId="1E2A2DC8">
          <w:pPr>
            <w:pStyle w:val="TOC2"/>
            <w:tabs>
              <w:tab w:val="left" w:pos="1440"/>
            </w:tabs>
            <w:rPr>
              <w:rFonts w:asciiTheme="minorHAnsi" w:hAnsiTheme="minorHAnsi" w:eastAsiaTheme="minorEastAsia"/>
              <w:noProof/>
              <w:sz w:val="24"/>
              <w:szCs w:val="24"/>
            </w:rPr>
          </w:pPr>
          <w:hyperlink w:history="1" w:anchor="_Toc214644733">
            <w:r w:rsidRPr="009B2599">
              <w:rPr>
                <w:rStyle w:val="Hyperlink"/>
                <w:rFonts w:cs="Arial"/>
                <w:caps/>
                <w:noProof/>
              </w:rPr>
              <w:t>3.13</w:t>
            </w:r>
            <w:r>
              <w:rPr>
                <w:rFonts w:asciiTheme="minorHAnsi" w:hAnsiTheme="minorHAnsi" w:eastAsiaTheme="minorEastAsia"/>
                <w:noProof/>
                <w:sz w:val="24"/>
                <w:szCs w:val="24"/>
              </w:rPr>
              <w:tab/>
            </w:r>
            <w:r w:rsidRPr="009B2599">
              <w:rPr>
                <w:rStyle w:val="Hyperlink"/>
                <w:rFonts w:cs="Arial"/>
                <w:noProof/>
              </w:rPr>
              <w:t>Title to Facility Assets.</w:t>
            </w:r>
            <w:r>
              <w:rPr>
                <w:noProof/>
                <w:webHidden/>
              </w:rPr>
              <w:tab/>
            </w:r>
            <w:r>
              <w:rPr>
                <w:noProof/>
                <w:webHidden/>
              </w:rPr>
              <w:fldChar w:fldCharType="begin"/>
            </w:r>
            <w:r>
              <w:rPr>
                <w:noProof/>
                <w:webHidden/>
              </w:rPr>
              <w:instrText xml:space="preserve"> PAGEREF _Toc214644733 \h </w:instrText>
            </w:r>
            <w:r>
              <w:rPr>
                <w:noProof/>
                <w:webHidden/>
              </w:rPr>
            </w:r>
            <w:r>
              <w:rPr>
                <w:noProof/>
                <w:webHidden/>
              </w:rPr>
              <w:fldChar w:fldCharType="separate"/>
            </w:r>
            <w:r>
              <w:rPr>
                <w:noProof/>
                <w:webHidden/>
              </w:rPr>
              <w:t>28</w:t>
            </w:r>
            <w:r>
              <w:rPr>
                <w:noProof/>
                <w:webHidden/>
              </w:rPr>
              <w:fldChar w:fldCharType="end"/>
            </w:r>
          </w:hyperlink>
        </w:p>
        <w:p w:rsidR="002B196E" w:rsidRDefault="002B196E" w14:paraId="2B1D4290" w14:textId="38E307D0">
          <w:pPr>
            <w:pStyle w:val="TOC2"/>
            <w:tabs>
              <w:tab w:val="left" w:pos="1440"/>
            </w:tabs>
            <w:rPr>
              <w:rFonts w:asciiTheme="minorHAnsi" w:hAnsiTheme="minorHAnsi" w:eastAsiaTheme="minorEastAsia"/>
              <w:noProof/>
              <w:sz w:val="24"/>
              <w:szCs w:val="24"/>
            </w:rPr>
          </w:pPr>
          <w:hyperlink w:history="1" w:anchor="_Toc214644734">
            <w:r w:rsidRPr="009B2599">
              <w:rPr>
                <w:rStyle w:val="Hyperlink"/>
                <w:rFonts w:cs="Arial"/>
                <w:caps/>
                <w:noProof/>
              </w:rPr>
              <w:t>3.14</w:t>
            </w:r>
            <w:r>
              <w:rPr>
                <w:rFonts w:asciiTheme="minorHAnsi" w:hAnsiTheme="minorHAnsi" w:eastAsiaTheme="minorEastAsia"/>
                <w:noProof/>
                <w:sz w:val="24"/>
                <w:szCs w:val="24"/>
              </w:rPr>
              <w:tab/>
            </w:r>
            <w:r w:rsidRPr="009B2599">
              <w:rPr>
                <w:rStyle w:val="Hyperlink"/>
                <w:rFonts w:cs="Arial"/>
                <w:noProof/>
              </w:rPr>
              <w:t>Condition and Sufficiency of Facility Assets.</w:t>
            </w:r>
            <w:r>
              <w:rPr>
                <w:noProof/>
                <w:webHidden/>
              </w:rPr>
              <w:tab/>
            </w:r>
            <w:r>
              <w:rPr>
                <w:noProof/>
                <w:webHidden/>
              </w:rPr>
              <w:fldChar w:fldCharType="begin"/>
            </w:r>
            <w:r>
              <w:rPr>
                <w:noProof/>
                <w:webHidden/>
              </w:rPr>
              <w:instrText xml:space="preserve"> PAGEREF _Toc214644734 \h </w:instrText>
            </w:r>
            <w:r>
              <w:rPr>
                <w:noProof/>
                <w:webHidden/>
              </w:rPr>
            </w:r>
            <w:r>
              <w:rPr>
                <w:noProof/>
                <w:webHidden/>
              </w:rPr>
              <w:fldChar w:fldCharType="separate"/>
            </w:r>
            <w:r>
              <w:rPr>
                <w:noProof/>
                <w:webHidden/>
              </w:rPr>
              <w:t>28</w:t>
            </w:r>
            <w:r>
              <w:rPr>
                <w:noProof/>
                <w:webHidden/>
              </w:rPr>
              <w:fldChar w:fldCharType="end"/>
            </w:r>
          </w:hyperlink>
        </w:p>
        <w:p w:rsidR="002B196E" w:rsidRDefault="002B196E" w14:paraId="1C8F538C" w14:textId="7F18F58E">
          <w:pPr>
            <w:pStyle w:val="TOC2"/>
            <w:tabs>
              <w:tab w:val="left" w:pos="1440"/>
            </w:tabs>
            <w:rPr>
              <w:rFonts w:asciiTheme="minorHAnsi" w:hAnsiTheme="minorHAnsi" w:eastAsiaTheme="minorEastAsia"/>
              <w:noProof/>
              <w:sz w:val="24"/>
              <w:szCs w:val="24"/>
            </w:rPr>
          </w:pPr>
          <w:hyperlink w:history="1" w:anchor="_Toc214644735">
            <w:r w:rsidRPr="009B2599">
              <w:rPr>
                <w:rStyle w:val="Hyperlink"/>
                <w:rFonts w:cs="Arial"/>
                <w:caps/>
                <w:noProof/>
                <w:specVanish/>
              </w:rPr>
              <w:t>3.15</w:t>
            </w:r>
            <w:r>
              <w:rPr>
                <w:rFonts w:asciiTheme="minorHAnsi" w:hAnsiTheme="minorHAnsi" w:eastAsiaTheme="minorEastAsia"/>
                <w:noProof/>
                <w:sz w:val="24"/>
                <w:szCs w:val="24"/>
              </w:rPr>
              <w:tab/>
            </w:r>
            <w:r w:rsidRPr="009B2599">
              <w:rPr>
                <w:rStyle w:val="Hyperlink"/>
                <w:rFonts w:cs="Arial"/>
                <w:noProof/>
              </w:rPr>
              <w:t>No Damage.</w:t>
            </w:r>
            <w:r>
              <w:rPr>
                <w:noProof/>
                <w:webHidden/>
              </w:rPr>
              <w:tab/>
            </w:r>
            <w:r>
              <w:rPr>
                <w:noProof/>
                <w:webHidden/>
              </w:rPr>
              <w:fldChar w:fldCharType="begin"/>
            </w:r>
            <w:r>
              <w:rPr>
                <w:noProof/>
                <w:webHidden/>
              </w:rPr>
              <w:instrText xml:space="preserve"> PAGEREF _Toc214644735 \h </w:instrText>
            </w:r>
            <w:r>
              <w:rPr>
                <w:noProof/>
                <w:webHidden/>
              </w:rPr>
            </w:r>
            <w:r>
              <w:rPr>
                <w:noProof/>
                <w:webHidden/>
              </w:rPr>
              <w:fldChar w:fldCharType="separate"/>
            </w:r>
            <w:r>
              <w:rPr>
                <w:noProof/>
                <w:webHidden/>
              </w:rPr>
              <w:t>28</w:t>
            </w:r>
            <w:r>
              <w:rPr>
                <w:noProof/>
                <w:webHidden/>
              </w:rPr>
              <w:fldChar w:fldCharType="end"/>
            </w:r>
          </w:hyperlink>
        </w:p>
        <w:p w:rsidR="002B196E" w:rsidRDefault="002B196E" w14:paraId="4184F568" w14:textId="11402C83">
          <w:pPr>
            <w:pStyle w:val="TOC2"/>
            <w:tabs>
              <w:tab w:val="left" w:pos="1440"/>
            </w:tabs>
            <w:rPr>
              <w:rFonts w:asciiTheme="minorHAnsi" w:hAnsiTheme="minorHAnsi" w:eastAsiaTheme="minorEastAsia"/>
              <w:noProof/>
              <w:sz w:val="24"/>
              <w:szCs w:val="24"/>
            </w:rPr>
          </w:pPr>
          <w:hyperlink w:history="1" w:anchor="_Toc214644736">
            <w:r w:rsidRPr="009B2599">
              <w:rPr>
                <w:rStyle w:val="Hyperlink"/>
                <w:rFonts w:cs="Arial"/>
                <w:caps/>
                <w:noProof/>
              </w:rPr>
              <w:t>3.16</w:t>
            </w:r>
            <w:r>
              <w:rPr>
                <w:rFonts w:asciiTheme="minorHAnsi" w:hAnsiTheme="minorHAnsi" w:eastAsiaTheme="minorEastAsia"/>
                <w:noProof/>
                <w:sz w:val="24"/>
                <w:szCs w:val="24"/>
              </w:rPr>
              <w:tab/>
            </w:r>
            <w:r w:rsidRPr="009B2599">
              <w:rPr>
                <w:rStyle w:val="Hyperlink"/>
                <w:rFonts w:cs="Arial"/>
                <w:noProof/>
              </w:rPr>
              <w:t>Financial Statements.</w:t>
            </w:r>
            <w:r>
              <w:rPr>
                <w:noProof/>
                <w:webHidden/>
              </w:rPr>
              <w:tab/>
            </w:r>
            <w:r>
              <w:rPr>
                <w:noProof/>
                <w:webHidden/>
              </w:rPr>
              <w:fldChar w:fldCharType="begin"/>
            </w:r>
            <w:r>
              <w:rPr>
                <w:noProof/>
                <w:webHidden/>
              </w:rPr>
              <w:instrText xml:space="preserve"> PAGEREF _Toc214644736 \h </w:instrText>
            </w:r>
            <w:r>
              <w:rPr>
                <w:noProof/>
                <w:webHidden/>
              </w:rPr>
            </w:r>
            <w:r>
              <w:rPr>
                <w:noProof/>
                <w:webHidden/>
              </w:rPr>
              <w:fldChar w:fldCharType="separate"/>
            </w:r>
            <w:r>
              <w:rPr>
                <w:noProof/>
                <w:webHidden/>
              </w:rPr>
              <w:t>28</w:t>
            </w:r>
            <w:r>
              <w:rPr>
                <w:noProof/>
                <w:webHidden/>
              </w:rPr>
              <w:fldChar w:fldCharType="end"/>
            </w:r>
          </w:hyperlink>
        </w:p>
        <w:p w:rsidR="002B196E" w:rsidRDefault="002B196E" w14:paraId="24C75E91" w14:textId="0095DE82">
          <w:pPr>
            <w:pStyle w:val="TOC2"/>
            <w:tabs>
              <w:tab w:val="left" w:pos="1440"/>
            </w:tabs>
            <w:rPr>
              <w:rFonts w:asciiTheme="minorHAnsi" w:hAnsiTheme="minorHAnsi" w:eastAsiaTheme="minorEastAsia"/>
              <w:noProof/>
              <w:sz w:val="24"/>
              <w:szCs w:val="24"/>
            </w:rPr>
          </w:pPr>
          <w:hyperlink w:history="1" w:anchor="_Toc214644737">
            <w:r w:rsidRPr="009B2599">
              <w:rPr>
                <w:rStyle w:val="Hyperlink"/>
                <w:rFonts w:cs="Arial"/>
                <w:caps/>
                <w:noProof/>
              </w:rPr>
              <w:t>3.17</w:t>
            </w:r>
            <w:r>
              <w:rPr>
                <w:rFonts w:asciiTheme="minorHAnsi" w:hAnsiTheme="minorHAnsi" w:eastAsiaTheme="minorEastAsia"/>
                <w:noProof/>
                <w:sz w:val="24"/>
                <w:szCs w:val="24"/>
              </w:rPr>
              <w:tab/>
            </w:r>
            <w:r w:rsidRPr="009B2599">
              <w:rPr>
                <w:rStyle w:val="Hyperlink"/>
                <w:rFonts w:cs="Arial"/>
                <w:noProof/>
              </w:rPr>
              <w:t>Insurance.</w:t>
            </w:r>
            <w:r>
              <w:rPr>
                <w:noProof/>
                <w:webHidden/>
              </w:rPr>
              <w:tab/>
            </w:r>
            <w:r>
              <w:rPr>
                <w:noProof/>
                <w:webHidden/>
              </w:rPr>
              <w:fldChar w:fldCharType="begin"/>
            </w:r>
            <w:r>
              <w:rPr>
                <w:noProof/>
                <w:webHidden/>
              </w:rPr>
              <w:instrText xml:space="preserve"> PAGEREF _Toc214644737 \h </w:instrText>
            </w:r>
            <w:r>
              <w:rPr>
                <w:noProof/>
                <w:webHidden/>
              </w:rPr>
            </w:r>
            <w:r>
              <w:rPr>
                <w:noProof/>
                <w:webHidden/>
              </w:rPr>
              <w:fldChar w:fldCharType="separate"/>
            </w:r>
            <w:r>
              <w:rPr>
                <w:noProof/>
                <w:webHidden/>
              </w:rPr>
              <w:t>29</w:t>
            </w:r>
            <w:r>
              <w:rPr>
                <w:noProof/>
                <w:webHidden/>
              </w:rPr>
              <w:fldChar w:fldCharType="end"/>
            </w:r>
          </w:hyperlink>
        </w:p>
        <w:p w:rsidR="002B196E" w:rsidRDefault="002B196E" w14:paraId="0F83949B" w14:textId="7B0F7A1C">
          <w:pPr>
            <w:pStyle w:val="TOC2"/>
            <w:tabs>
              <w:tab w:val="left" w:pos="1440"/>
            </w:tabs>
            <w:rPr>
              <w:rFonts w:asciiTheme="minorHAnsi" w:hAnsiTheme="minorHAnsi" w:eastAsiaTheme="minorEastAsia"/>
              <w:noProof/>
              <w:sz w:val="24"/>
              <w:szCs w:val="24"/>
            </w:rPr>
          </w:pPr>
          <w:hyperlink w:history="1" w:anchor="_Toc214644738">
            <w:r w:rsidRPr="009B2599">
              <w:rPr>
                <w:rStyle w:val="Hyperlink"/>
                <w:rFonts w:cs="Arial"/>
                <w:caps/>
                <w:noProof/>
                <w:specVanish/>
              </w:rPr>
              <w:t>3.18</w:t>
            </w:r>
            <w:r>
              <w:rPr>
                <w:rFonts w:asciiTheme="minorHAnsi" w:hAnsiTheme="minorHAnsi" w:eastAsiaTheme="minorEastAsia"/>
                <w:noProof/>
                <w:sz w:val="24"/>
                <w:szCs w:val="24"/>
              </w:rPr>
              <w:tab/>
            </w:r>
            <w:r w:rsidRPr="009B2599">
              <w:rPr>
                <w:rStyle w:val="Hyperlink"/>
                <w:rFonts w:cs="Arial"/>
                <w:noProof/>
              </w:rPr>
              <w:t>Taxes.</w:t>
            </w:r>
            <w:r>
              <w:rPr>
                <w:noProof/>
                <w:webHidden/>
              </w:rPr>
              <w:tab/>
            </w:r>
            <w:r>
              <w:rPr>
                <w:noProof/>
                <w:webHidden/>
              </w:rPr>
              <w:fldChar w:fldCharType="begin"/>
            </w:r>
            <w:r>
              <w:rPr>
                <w:noProof/>
                <w:webHidden/>
              </w:rPr>
              <w:instrText xml:space="preserve"> PAGEREF _Toc214644738 \h </w:instrText>
            </w:r>
            <w:r>
              <w:rPr>
                <w:noProof/>
                <w:webHidden/>
              </w:rPr>
            </w:r>
            <w:r>
              <w:rPr>
                <w:noProof/>
                <w:webHidden/>
              </w:rPr>
              <w:fldChar w:fldCharType="separate"/>
            </w:r>
            <w:r>
              <w:rPr>
                <w:noProof/>
                <w:webHidden/>
              </w:rPr>
              <w:t>30</w:t>
            </w:r>
            <w:r>
              <w:rPr>
                <w:noProof/>
                <w:webHidden/>
              </w:rPr>
              <w:fldChar w:fldCharType="end"/>
            </w:r>
          </w:hyperlink>
        </w:p>
        <w:p w:rsidR="002B196E" w:rsidRDefault="002B196E" w14:paraId="45E8AD10" w14:textId="0F57003A">
          <w:pPr>
            <w:pStyle w:val="TOC2"/>
            <w:tabs>
              <w:tab w:val="left" w:pos="1440"/>
            </w:tabs>
            <w:rPr>
              <w:rFonts w:asciiTheme="minorHAnsi" w:hAnsiTheme="minorHAnsi" w:eastAsiaTheme="minorEastAsia"/>
              <w:noProof/>
              <w:sz w:val="24"/>
              <w:szCs w:val="24"/>
            </w:rPr>
          </w:pPr>
          <w:hyperlink w:history="1" w:anchor="_Toc214644739">
            <w:r w:rsidRPr="009B2599">
              <w:rPr>
                <w:rStyle w:val="Hyperlink"/>
                <w:rFonts w:cs="Arial"/>
                <w:caps/>
                <w:noProof/>
              </w:rPr>
              <w:t>3.19</w:t>
            </w:r>
            <w:r>
              <w:rPr>
                <w:rFonts w:asciiTheme="minorHAnsi" w:hAnsiTheme="minorHAnsi" w:eastAsiaTheme="minorEastAsia"/>
                <w:noProof/>
                <w:sz w:val="24"/>
                <w:szCs w:val="24"/>
              </w:rPr>
              <w:tab/>
            </w:r>
            <w:r w:rsidRPr="009B2599">
              <w:rPr>
                <w:rStyle w:val="Hyperlink"/>
                <w:rFonts w:cs="Arial"/>
                <w:noProof/>
              </w:rPr>
              <w:t>Tax Benefits.</w:t>
            </w:r>
            <w:r>
              <w:rPr>
                <w:noProof/>
                <w:webHidden/>
              </w:rPr>
              <w:tab/>
            </w:r>
            <w:r>
              <w:rPr>
                <w:noProof/>
                <w:webHidden/>
              </w:rPr>
              <w:fldChar w:fldCharType="begin"/>
            </w:r>
            <w:r>
              <w:rPr>
                <w:noProof/>
                <w:webHidden/>
              </w:rPr>
              <w:instrText xml:space="preserve"> PAGEREF _Toc214644739 \h </w:instrText>
            </w:r>
            <w:r>
              <w:rPr>
                <w:noProof/>
                <w:webHidden/>
              </w:rPr>
            </w:r>
            <w:r>
              <w:rPr>
                <w:noProof/>
                <w:webHidden/>
              </w:rPr>
              <w:fldChar w:fldCharType="separate"/>
            </w:r>
            <w:r>
              <w:rPr>
                <w:noProof/>
                <w:webHidden/>
              </w:rPr>
              <w:t>30</w:t>
            </w:r>
            <w:r>
              <w:rPr>
                <w:noProof/>
                <w:webHidden/>
              </w:rPr>
              <w:fldChar w:fldCharType="end"/>
            </w:r>
          </w:hyperlink>
        </w:p>
        <w:p w:rsidR="002B196E" w:rsidRDefault="002B196E" w14:paraId="0A4425D8" w14:textId="68301C72">
          <w:pPr>
            <w:pStyle w:val="TOC2"/>
            <w:tabs>
              <w:tab w:val="left" w:pos="1440"/>
            </w:tabs>
            <w:rPr>
              <w:rFonts w:asciiTheme="minorHAnsi" w:hAnsiTheme="minorHAnsi" w:eastAsiaTheme="minorEastAsia"/>
              <w:noProof/>
              <w:sz w:val="24"/>
              <w:szCs w:val="24"/>
            </w:rPr>
          </w:pPr>
          <w:hyperlink w:history="1" w:anchor="_Toc214644740">
            <w:r w:rsidRPr="009B2599">
              <w:rPr>
                <w:rStyle w:val="Hyperlink"/>
                <w:rFonts w:cs="Arial"/>
                <w:caps/>
                <w:noProof/>
                <w:specVanish/>
              </w:rPr>
              <w:t>3.20</w:t>
            </w:r>
            <w:r>
              <w:rPr>
                <w:rFonts w:asciiTheme="minorHAnsi" w:hAnsiTheme="minorHAnsi" w:eastAsiaTheme="minorEastAsia"/>
                <w:noProof/>
                <w:sz w:val="24"/>
                <w:szCs w:val="24"/>
              </w:rPr>
              <w:tab/>
            </w:r>
            <w:r w:rsidRPr="009B2599">
              <w:rPr>
                <w:rStyle w:val="Hyperlink"/>
                <w:rFonts w:cs="Arial"/>
                <w:noProof/>
              </w:rPr>
              <w:t>Intellectual Property.</w:t>
            </w:r>
            <w:r>
              <w:rPr>
                <w:noProof/>
                <w:webHidden/>
              </w:rPr>
              <w:tab/>
            </w:r>
            <w:r>
              <w:rPr>
                <w:noProof/>
                <w:webHidden/>
              </w:rPr>
              <w:fldChar w:fldCharType="begin"/>
            </w:r>
            <w:r>
              <w:rPr>
                <w:noProof/>
                <w:webHidden/>
              </w:rPr>
              <w:instrText xml:space="preserve"> PAGEREF _Toc214644740 \h </w:instrText>
            </w:r>
            <w:r>
              <w:rPr>
                <w:noProof/>
                <w:webHidden/>
              </w:rPr>
            </w:r>
            <w:r>
              <w:rPr>
                <w:noProof/>
                <w:webHidden/>
              </w:rPr>
              <w:fldChar w:fldCharType="separate"/>
            </w:r>
            <w:r>
              <w:rPr>
                <w:noProof/>
                <w:webHidden/>
              </w:rPr>
              <w:t>31</w:t>
            </w:r>
            <w:r>
              <w:rPr>
                <w:noProof/>
                <w:webHidden/>
              </w:rPr>
              <w:fldChar w:fldCharType="end"/>
            </w:r>
          </w:hyperlink>
        </w:p>
        <w:p w:rsidR="002B196E" w:rsidRDefault="002B196E" w14:paraId="736C7993" w14:textId="22BBFAE9">
          <w:pPr>
            <w:pStyle w:val="TOC2"/>
            <w:tabs>
              <w:tab w:val="left" w:pos="1440"/>
            </w:tabs>
            <w:rPr>
              <w:rFonts w:asciiTheme="minorHAnsi" w:hAnsiTheme="minorHAnsi" w:eastAsiaTheme="minorEastAsia"/>
              <w:noProof/>
              <w:sz w:val="24"/>
              <w:szCs w:val="24"/>
            </w:rPr>
          </w:pPr>
          <w:hyperlink w:history="1" w:anchor="_Toc214644741">
            <w:r w:rsidRPr="009B2599">
              <w:rPr>
                <w:rStyle w:val="Hyperlink"/>
                <w:rFonts w:cs="Arial"/>
                <w:caps/>
                <w:noProof/>
                <w:specVanish/>
              </w:rPr>
              <w:t>3.21</w:t>
            </w:r>
            <w:r>
              <w:rPr>
                <w:rFonts w:asciiTheme="minorHAnsi" w:hAnsiTheme="minorHAnsi" w:eastAsiaTheme="minorEastAsia"/>
                <w:noProof/>
                <w:sz w:val="24"/>
                <w:szCs w:val="24"/>
              </w:rPr>
              <w:tab/>
            </w:r>
            <w:r w:rsidRPr="009B2599">
              <w:rPr>
                <w:rStyle w:val="Hyperlink"/>
                <w:rFonts w:cs="Arial"/>
                <w:noProof/>
              </w:rPr>
              <w:t>Resource Data.</w:t>
            </w:r>
            <w:r>
              <w:rPr>
                <w:noProof/>
                <w:webHidden/>
              </w:rPr>
              <w:tab/>
            </w:r>
            <w:r>
              <w:rPr>
                <w:noProof/>
                <w:webHidden/>
              </w:rPr>
              <w:fldChar w:fldCharType="begin"/>
            </w:r>
            <w:r>
              <w:rPr>
                <w:noProof/>
                <w:webHidden/>
              </w:rPr>
              <w:instrText xml:space="preserve"> PAGEREF _Toc214644741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2380FFC1" w14:textId="201AC583">
          <w:pPr>
            <w:pStyle w:val="TOC2"/>
            <w:tabs>
              <w:tab w:val="left" w:pos="1440"/>
            </w:tabs>
            <w:rPr>
              <w:rFonts w:asciiTheme="minorHAnsi" w:hAnsiTheme="minorHAnsi" w:eastAsiaTheme="minorEastAsia"/>
              <w:noProof/>
              <w:sz w:val="24"/>
              <w:szCs w:val="24"/>
            </w:rPr>
          </w:pPr>
          <w:hyperlink w:history="1" w:anchor="_Toc214644742">
            <w:r w:rsidRPr="009B2599">
              <w:rPr>
                <w:rStyle w:val="Hyperlink"/>
                <w:rFonts w:cs="Arial"/>
                <w:caps/>
                <w:noProof/>
                <w:specVanish/>
              </w:rPr>
              <w:t>3.22</w:t>
            </w:r>
            <w:r>
              <w:rPr>
                <w:rFonts w:asciiTheme="minorHAnsi" w:hAnsiTheme="minorHAnsi" w:eastAsiaTheme="minorEastAsia"/>
                <w:noProof/>
                <w:sz w:val="24"/>
                <w:szCs w:val="24"/>
              </w:rPr>
              <w:tab/>
            </w:r>
            <w:r w:rsidRPr="009B2599">
              <w:rPr>
                <w:rStyle w:val="Hyperlink"/>
                <w:rFonts w:cs="Arial"/>
                <w:noProof/>
              </w:rPr>
              <w:t>Employee Benefit Plan Liabilities.</w:t>
            </w:r>
            <w:r>
              <w:rPr>
                <w:noProof/>
                <w:webHidden/>
              </w:rPr>
              <w:tab/>
            </w:r>
            <w:r>
              <w:rPr>
                <w:noProof/>
                <w:webHidden/>
              </w:rPr>
              <w:fldChar w:fldCharType="begin"/>
            </w:r>
            <w:r>
              <w:rPr>
                <w:noProof/>
                <w:webHidden/>
              </w:rPr>
              <w:instrText xml:space="preserve"> PAGEREF _Toc214644742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26E052A0" w14:textId="3A851670">
          <w:pPr>
            <w:pStyle w:val="TOC2"/>
            <w:tabs>
              <w:tab w:val="left" w:pos="1440"/>
            </w:tabs>
            <w:rPr>
              <w:rFonts w:asciiTheme="minorHAnsi" w:hAnsiTheme="minorHAnsi" w:eastAsiaTheme="minorEastAsia"/>
              <w:noProof/>
              <w:sz w:val="24"/>
              <w:szCs w:val="24"/>
            </w:rPr>
          </w:pPr>
          <w:hyperlink w:history="1" w:anchor="_Toc214644743">
            <w:r w:rsidRPr="009B2599">
              <w:rPr>
                <w:rStyle w:val="Hyperlink"/>
                <w:rFonts w:cs="Arial"/>
                <w:caps/>
                <w:noProof/>
                <w:specVanish/>
              </w:rPr>
              <w:t>3.23</w:t>
            </w:r>
            <w:r>
              <w:rPr>
                <w:rFonts w:asciiTheme="minorHAnsi" w:hAnsiTheme="minorHAnsi" w:eastAsiaTheme="minorEastAsia"/>
                <w:noProof/>
                <w:sz w:val="24"/>
                <w:szCs w:val="24"/>
              </w:rPr>
              <w:tab/>
            </w:r>
            <w:r w:rsidRPr="009B2599">
              <w:rPr>
                <w:rStyle w:val="Hyperlink"/>
                <w:rFonts w:cs="Arial"/>
                <w:noProof/>
              </w:rPr>
              <w:t>Undisclosed Liabilities.</w:t>
            </w:r>
            <w:r>
              <w:rPr>
                <w:noProof/>
                <w:webHidden/>
              </w:rPr>
              <w:tab/>
            </w:r>
            <w:r>
              <w:rPr>
                <w:noProof/>
                <w:webHidden/>
              </w:rPr>
              <w:fldChar w:fldCharType="begin"/>
            </w:r>
            <w:r>
              <w:rPr>
                <w:noProof/>
                <w:webHidden/>
              </w:rPr>
              <w:instrText xml:space="preserve"> PAGEREF _Toc214644743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06CE90DB" w14:textId="768265AC">
          <w:pPr>
            <w:pStyle w:val="TOC2"/>
            <w:tabs>
              <w:tab w:val="left" w:pos="1440"/>
            </w:tabs>
            <w:rPr>
              <w:rFonts w:asciiTheme="minorHAnsi" w:hAnsiTheme="minorHAnsi" w:eastAsiaTheme="minorEastAsia"/>
              <w:noProof/>
              <w:sz w:val="24"/>
              <w:szCs w:val="24"/>
            </w:rPr>
          </w:pPr>
          <w:hyperlink w:history="1" w:anchor="_Toc214644744">
            <w:r w:rsidRPr="009B2599">
              <w:rPr>
                <w:rStyle w:val="Hyperlink"/>
                <w:rFonts w:cs="Arial"/>
                <w:caps/>
                <w:noProof/>
                <w:specVanish/>
              </w:rPr>
              <w:t>3.24</w:t>
            </w:r>
            <w:r>
              <w:rPr>
                <w:rFonts w:asciiTheme="minorHAnsi" w:hAnsiTheme="minorHAnsi" w:eastAsiaTheme="minorEastAsia"/>
                <w:noProof/>
                <w:sz w:val="24"/>
                <w:szCs w:val="24"/>
              </w:rPr>
              <w:tab/>
            </w:r>
            <w:r w:rsidRPr="009B2599">
              <w:rPr>
                <w:rStyle w:val="Hyperlink"/>
                <w:rFonts w:cs="Arial"/>
                <w:noProof/>
              </w:rPr>
              <w:t>Absence of Certain Changes.</w:t>
            </w:r>
            <w:r>
              <w:rPr>
                <w:noProof/>
                <w:webHidden/>
              </w:rPr>
              <w:tab/>
            </w:r>
            <w:r>
              <w:rPr>
                <w:noProof/>
                <w:webHidden/>
              </w:rPr>
              <w:fldChar w:fldCharType="begin"/>
            </w:r>
            <w:r>
              <w:rPr>
                <w:noProof/>
                <w:webHidden/>
              </w:rPr>
              <w:instrText xml:space="preserve"> PAGEREF _Toc214644744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3D97D509" w14:textId="63F85F1A">
          <w:pPr>
            <w:pStyle w:val="TOC2"/>
            <w:tabs>
              <w:tab w:val="left" w:pos="1440"/>
            </w:tabs>
            <w:rPr>
              <w:rFonts w:asciiTheme="minorHAnsi" w:hAnsiTheme="minorHAnsi" w:eastAsiaTheme="minorEastAsia"/>
              <w:noProof/>
              <w:sz w:val="24"/>
              <w:szCs w:val="24"/>
            </w:rPr>
          </w:pPr>
          <w:hyperlink w:history="1" w:anchor="_Toc214644745">
            <w:r w:rsidRPr="009B2599">
              <w:rPr>
                <w:rStyle w:val="Hyperlink"/>
                <w:rFonts w:cs="Arial"/>
                <w:caps/>
                <w:noProof/>
                <w:specVanish/>
              </w:rPr>
              <w:t>3.25</w:t>
            </w:r>
            <w:r>
              <w:rPr>
                <w:rFonts w:asciiTheme="minorHAnsi" w:hAnsiTheme="minorHAnsi" w:eastAsiaTheme="minorEastAsia"/>
                <w:noProof/>
                <w:sz w:val="24"/>
                <w:szCs w:val="24"/>
              </w:rPr>
              <w:tab/>
            </w:r>
            <w:r w:rsidRPr="009B2599">
              <w:rPr>
                <w:rStyle w:val="Hyperlink"/>
                <w:rFonts w:cs="Arial"/>
                <w:noProof/>
              </w:rPr>
              <w:t>Credit Support.</w:t>
            </w:r>
            <w:r>
              <w:rPr>
                <w:noProof/>
                <w:webHidden/>
              </w:rPr>
              <w:tab/>
            </w:r>
            <w:r>
              <w:rPr>
                <w:noProof/>
                <w:webHidden/>
              </w:rPr>
              <w:fldChar w:fldCharType="begin"/>
            </w:r>
            <w:r>
              <w:rPr>
                <w:noProof/>
                <w:webHidden/>
              </w:rPr>
              <w:instrText xml:space="preserve"> PAGEREF _Toc214644745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04D48BF2" w14:textId="2BAF450B">
          <w:pPr>
            <w:pStyle w:val="TOC2"/>
            <w:tabs>
              <w:tab w:val="left" w:pos="1440"/>
            </w:tabs>
            <w:rPr>
              <w:rFonts w:asciiTheme="minorHAnsi" w:hAnsiTheme="minorHAnsi" w:eastAsiaTheme="minorEastAsia"/>
              <w:noProof/>
              <w:sz w:val="24"/>
              <w:szCs w:val="24"/>
            </w:rPr>
          </w:pPr>
          <w:hyperlink w:history="1" w:anchor="_Toc214644746">
            <w:r w:rsidRPr="009B2599">
              <w:rPr>
                <w:rStyle w:val="Hyperlink"/>
                <w:rFonts w:cs="Arial"/>
                <w:caps/>
                <w:noProof/>
                <w:specVanish/>
              </w:rPr>
              <w:t>3.26</w:t>
            </w:r>
            <w:r>
              <w:rPr>
                <w:rFonts w:asciiTheme="minorHAnsi" w:hAnsiTheme="minorHAnsi" w:eastAsiaTheme="minorEastAsia"/>
                <w:noProof/>
                <w:sz w:val="24"/>
                <w:szCs w:val="24"/>
              </w:rPr>
              <w:tab/>
            </w:r>
            <w:r w:rsidRPr="009B2599">
              <w:rPr>
                <w:rStyle w:val="Hyperlink"/>
                <w:rFonts w:cs="Arial"/>
                <w:noProof/>
              </w:rPr>
              <w:t>Affiliate Arrangements.</w:t>
            </w:r>
            <w:r>
              <w:rPr>
                <w:noProof/>
                <w:webHidden/>
              </w:rPr>
              <w:tab/>
            </w:r>
            <w:r>
              <w:rPr>
                <w:noProof/>
                <w:webHidden/>
              </w:rPr>
              <w:fldChar w:fldCharType="begin"/>
            </w:r>
            <w:r>
              <w:rPr>
                <w:noProof/>
                <w:webHidden/>
              </w:rPr>
              <w:instrText xml:space="preserve"> PAGEREF _Toc214644746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690975F0" w14:textId="4277A352">
          <w:pPr>
            <w:pStyle w:val="TOC2"/>
            <w:tabs>
              <w:tab w:val="left" w:pos="1440"/>
            </w:tabs>
            <w:rPr>
              <w:rFonts w:asciiTheme="minorHAnsi" w:hAnsiTheme="minorHAnsi" w:eastAsiaTheme="minorEastAsia"/>
              <w:noProof/>
              <w:sz w:val="24"/>
              <w:szCs w:val="24"/>
            </w:rPr>
          </w:pPr>
          <w:hyperlink w:history="1" w:anchor="_Toc214644747">
            <w:r w:rsidRPr="009B2599">
              <w:rPr>
                <w:rStyle w:val="Hyperlink"/>
                <w:rFonts w:cs="Arial"/>
                <w:caps/>
                <w:noProof/>
                <w:specVanish/>
              </w:rPr>
              <w:t>3.27</w:t>
            </w:r>
            <w:r>
              <w:rPr>
                <w:rFonts w:asciiTheme="minorHAnsi" w:hAnsiTheme="minorHAnsi" w:eastAsiaTheme="minorEastAsia"/>
                <w:noProof/>
                <w:sz w:val="24"/>
                <w:szCs w:val="24"/>
              </w:rPr>
              <w:tab/>
            </w:r>
            <w:r w:rsidRPr="009B2599">
              <w:rPr>
                <w:rStyle w:val="Hyperlink"/>
                <w:rFonts w:cs="Arial"/>
                <w:noProof/>
              </w:rPr>
              <w:t>Brokers.</w:t>
            </w:r>
            <w:r>
              <w:rPr>
                <w:noProof/>
                <w:webHidden/>
              </w:rPr>
              <w:tab/>
            </w:r>
            <w:r>
              <w:rPr>
                <w:noProof/>
                <w:webHidden/>
              </w:rPr>
              <w:fldChar w:fldCharType="begin"/>
            </w:r>
            <w:r>
              <w:rPr>
                <w:noProof/>
                <w:webHidden/>
              </w:rPr>
              <w:instrText xml:space="preserve"> PAGEREF _Toc214644747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2AFE6CC7" w14:textId="4FE996B6">
          <w:pPr>
            <w:pStyle w:val="TOC2"/>
            <w:tabs>
              <w:tab w:val="left" w:pos="1440"/>
            </w:tabs>
            <w:rPr>
              <w:rFonts w:asciiTheme="minorHAnsi" w:hAnsiTheme="minorHAnsi" w:eastAsiaTheme="minorEastAsia"/>
              <w:noProof/>
              <w:sz w:val="24"/>
              <w:szCs w:val="24"/>
            </w:rPr>
          </w:pPr>
          <w:hyperlink w:history="1" w:anchor="_Toc214644748">
            <w:r w:rsidRPr="009B2599">
              <w:rPr>
                <w:rStyle w:val="Hyperlink"/>
                <w:rFonts w:cs="Arial"/>
                <w:caps/>
                <w:noProof/>
                <w:specVanish/>
              </w:rPr>
              <w:t>3.28</w:t>
            </w:r>
            <w:r>
              <w:rPr>
                <w:rFonts w:asciiTheme="minorHAnsi" w:hAnsiTheme="minorHAnsi" w:eastAsiaTheme="minorEastAsia"/>
                <w:noProof/>
                <w:sz w:val="24"/>
                <w:szCs w:val="24"/>
              </w:rPr>
              <w:tab/>
            </w:r>
            <w:r w:rsidRPr="009B2599">
              <w:rPr>
                <w:rStyle w:val="Hyperlink"/>
                <w:rFonts w:cs="Arial"/>
                <w:noProof/>
              </w:rPr>
              <w:t>Development Fees.</w:t>
            </w:r>
            <w:r>
              <w:rPr>
                <w:noProof/>
                <w:webHidden/>
              </w:rPr>
              <w:tab/>
            </w:r>
            <w:r>
              <w:rPr>
                <w:noProof/>
                <w:webHidden/>
              </w:rPr>
              <w:fldChar w:fldCharType="begin"/>
            </w:r>
            <w:r>
              <w:rPr>
                <w:noProof/>
                <w:webHidden/>
              </w:rPr>
              <w:instrText xml:space="preserve"> PAGEREF _Toc214644748 \h </w:instrText>
            </w:r>
            <w:r>
              <w:rPr>
                <w:noProof/>
                <w:webHidden/>
              </w:rPr>
            </w:r>
            <w:r>
              <w:rPr>
                <w:noProof/>
                <w:webHidden/>
              </w:rPr>
              <w:fldChar w:fldCharType="separate"/>
            </w:r>
            <w:r>
              <w:rPr>
                <w:noProof/>
                <w:webHidden/>
              </w:rPr>
              <w:t>32</w:t>
            </w:r>
            <w:r>
              <w:rPr>
                <w:noProof/>
                <w:webHidden/>
              </w:rPr>
              <w:fldChar w:fldCharType="end"/>
            </w:r>
          </w:hyperlink>
        </w:p>
        <w:p w:rsidR="002B196E" w:rsidRDefault="002B196E" w14:paraId="7D9FDA0B" w14:textId="087574D7">
          <w:pPr>
            <w:pStyle w:val="TOC2"/>
            <w:tabs>
              <w:tab w:val="left" w:pos="1440"/>
            </w:tabs>
            <w:rPr>
              <w:rFonts w:asciiTheme="minorHAnsi" w:hAnsiTheme="minorHAnsi" w:eastAsiaTheme="minorEastAsia"/>
              <w:noProof/>
              <w:sz w:val="24"/>
              <w:szCs w:val="24"/>
            </w:rPr>
          </w:pPr>
          <w:hyperlink w:history="1" w:anchor="_Toc214644749">
            <w:r w:rsidRPr="009B2599">
              <w:rPr>
                <w:rStyle w:val="Hyperlink"/>
                <w:rFonts w:cs="Arial"/>
                <w:caps/>
                <w:noProof/>
                <w:specVanish/>
              </w:rPr>
              <w:t>3.29</w:t>
            </w:r>
            <w:r>
              <w:rPr>
                <w:rFonts w:asciiTheme="minorHAnsi" w:hAnsiTheme="minorHAnsi" w:eastAsiaTheme="minorEastAsia"/>
                <w:noProof/>
                <w:sz w:val="24"/>
                <w:szCs w:val="24"/>
              </w:rPr>
              <w:tab/>
            </w:r>
            <w:r w:rsidRPr="009B2599">
              <w:rPr>
                <w:rStyle w:val="Hyperlink"/>
                <w:rFonts w:cs="Arial"/>
                <w:noProof/>
              </w:rPr>
              <w:t>Disclosure.</w:t>
            </w:r>
            <w:r>
              <w:rPr>
                <w:noProof/>
                <w:webHidden/>
              </w:rPr>
              <w:tab/>
            </w:r>
            <w:r>
              <w:rPr>
                <w:noProof/>
                <w:webHidden/>
              </w:rPr>
              <w:fldChar w:fldCharType="begin"/>
            </w:r>
            <w:r>
              <w:rPr>
                <w:noProof/>
                <w:webHidden/>
              </w:rPr>
              <w:instrText xml:space="preserve"> PAGEREF _Toc214644749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787CCA55" w14:textId="0B5542C3">
          <w:pPr>
            <w:pStyle w:val="TOC2"/>
            <w:tabs>
              <w:tab w:val="left" w:pos="1440"/>
            </w:tabs>
            <w:rPr>
              <w:rFonts w:asciiTheme="minorHAnsi" w:hAnsiTheme="minorHAnsi" w:eastAsiaTheme="minorEastAsia"/>
              <w:noProof/>
              <w:sz w:val="24"/>
              <w:szCs w:val="24"/>
            </w:rPr>
          </w:pPr>
          <w:hyperlink w:history="1" w:anchor="_Toc214644750">
            <w:r w:rsidRPr="009B2599">
              <w:rPr>
                <w:rStyle w:val="Hyperlink"/>
                <w:rFonts w:cs="Arial"/>
                <w:caps/>
                <w:noProof/>
                <w:specVanish/>
              </w:rPr>
              <w:t>3.30</w:t>
            </w:r>
            <w:r>
              <w:rPr>
                <w:rFonts w:asciiTheme="minorHAnsi" w:hAnsiTheme="minorHAnsi" w:eastAsiaTheme="minorEastAsia"/>
                <w:noProof/>
                <w:sz w:val="24"/>
                <w:szCs w:val="24"/>
              </w:rPr>
              <w:tab/>
            </w:r>
            <w:r w:rsidRPr="009B2599">
              <w:rPr>
                <w:rStyle w:val="Hyperlink"/>
                <w:rFonts w:cs="Arial"/>
                <w:noProof/>
              </w:rPr>
              <w:t>Reports.</w:t>
            </w:r>
            <w:r>
              <w:rPr>
                <w:noProof/>
                <w:webHidden/>
              </w:rPr>
              <w:tab/>
            </w:r>
            <w:r>
              <w:rPr>
                <w:noProof/>
                <w:webHidden/>
              </w:rPr>
              <w:fldChar w:fldCharType="begin"/>
            </w:r>
            <w:r>
              <w:rPr>
                <w:noProof/>
                <w:webHidden/>
              </w:rPr>
              <w:instrText xml:space="preserve"> PAGEREF _Toc214644750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666B2646" w14:textId="4984D1E6">
          <w:pPr>
            <w:pStyle w:val="TOC2"/>
            <w:tabs>
              <w:tab w:val="left" w:pos="1440"/>
            </w:tabs>
            <w:rPr>
              <w:rFonts w:asciiTheme="minorHAnsi" w:hAnsiTheme="minorHAnsi" w:eastAsiaTheme="minorEastAsia"/>
              <w:noProof/>
              <w:sz w:val="24"/>
              <w:szCs w:val="24"/>
            </w:rPr>
          </w:pPr>
          <w:hyperlink w:history="1" w:anchor="_Toc214644751">
            <w:r w:rsidRPr="009B2599">
              <w:rPr>
                <w:rStyle w:val="Hyperlink"/>
                <w:rFonts w:cs="Arial"/>
                <w:caps/>
                <w:noProof/>
                <w:specVanish/>
              </w:rPr>
              <w:t>3.31</w:t>
            </w:r>
            <w:r>
              <w:rPr>
                <w:rFonts w:asciiTheme="minorHAnsi" w:hAnsiTheme="minorHAnsi" w:eastAsiaTheme="minorEastAsia"/>
                <w:noProof/>
                <w:sz w:val="24"/>
                <w:szCs w:val="24"/>
              </w:rPr>
              <w:tab/>
            </w:r>
            <w:r w:rsidRPr="009B2599">
              <w:rPr>
                <w:rStyle w:val="Hyperlink"/>
                <w:rFonts w:cs="Arial"/>
                <w:noProof/>
              </w:rPr>
              <w:t>Anti-Corruption.</w:t>
            </w:r>
            <w:r>
              <w:rPr>
                <w:noProof/>
                <w:webHidden/>
              </w:rPr>
              <w:tab/>
            </w:r>
            <w:r>
              <w:rPr>
                <w:noProof/>
                <w:webHidden/>
              </w:rPr>
              <w:fldChar w:fldCharType="begin"/>
            </w:r>
            <w:r>
              <w:rPr>
                <w:noProof/>
                <w:webHidden/>
              </w:rPr>
              <w:instrText xml:space="preserve"> PAGEREF _Toc214644751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37A82DF6" w14:textId="362FAE27">
          <w:pPr>
            <w:pStyle w:val="TOC2"/>
            <w:tabs>
              <w:tab w:val="left" w:pos="1440"/>
            </w:tabs>
            <w:rPr>
              <w:rFonts w:asciiTheme="minorHAnsi" w:hAnsiTheme="minorHAnsi" w:eastAsiaTheme="minorEastAsia"/>
              <w:noProof/>
              <w:sz w:val="24"/>
              <w:szCs w:val="24"/>
            </w:rPr>
          </w:pPr>
          <w:hyperlink w:history="1" w:anchor="_Toc214644752">
            <w:r w:rsidRPr="009B2599">
              <w:rPr>
                <w:rStyle w:val="Hyperlink"/>
                <w:rFonts w:cs="Arial"/>
                <w:caps/>
                <w:noProof/>
                <w:specVanish/>
              </w:rPr>
              <w:t>3.32</w:t>
            </w:r>
            <w:r>
              <w:rPr>
                <w:rFonts w:asciiTheme="minorHAnsi" w:hAnsiTheme="minorHAnsi" w:eastAsiaTheme="minorEastAsia"/>
                <w:noProof/>
                <w:sz w:val="24"/>
                <w:szCs w:val="24"/>
              </w:rPr>
              <w:tab/>
            </w:r>
            <w:r w:rsidRPr="009B2599">
              <w:rPr>
                <w:rStyle w:val="Hyperlink"/>
                <w:rFonts w:cs="Arial"/>
                <w:noProof/>
              </w:rPr>
              <w:t>Sufficient Funds.</w:t>
            </w:r>
            <w:r>
              <w:rPr>
                <w:noProof/>
                <w:webHidden/>
              </w:rPr>
              <w:tab/>
            </w:r>
            <w:r>
              <w:rPr>
                <w:noProof/>
                <w:webHidden/>
              </w:rPr>
              <w:fldChar w:fldCharType="begin"/>
            </w:r>
            <w:r>
              <w:rPr>
                <w:noProof/>
                <w:webHidden/>
              </w:rPr>
              <w:instrText xml:space="preserve"> PAGEREF _Toc214644752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49F80ABC" w14:textId="44D96C8D">
          <w:pPr>
            <w:pStyle w:val="TOC2"/>
            <w:tabs>
              <w:tab w:val="left" w:pos="1440"/>
            </w:tabs>
            <w:rPr>
              <w:rFonts w:asciiTheme="minorHAnsi" w:hAnsiTheme="minorHAnsi" w:eastAsiaTheme="minorEastAsia"/>
              <w:noProof/>
              <w:sz w:val="24"/>
              <w:szCs w:val="24"/>
            </w:rPr>
          </w:pPr>
          <w:hyperlink w:history="1" w:anchor="_Toc214644753">
            <w:r w:rsidRPr="009B2599">
              <w:rPr>
                <w:rStyle w:val="Hyperlink"/>
                <w:rFonts w:cs="Arial"/>
                <w:caps/>
                <w:noProof/>
                <w:specVanish/>
              </w:rPr>
              <w:t>3.33</w:t>
            </w:r>
            <w:r>
              <w:rPr>
                <w:rFonts w:asciiTheme="minorHAnsi" w:hAnsiTheme="minorHAnsi" w:eastAsiaTheme="minorEastAsia"/>
                <w:noProof/>
                <w:sz w:val="24"/>
                <w:szCs w:val="24"/>
              </w:rPr>
              <w:tab/>
            </w:r>
            <w:r w:rsidRPr="009B2599">
              <w:rPr>
                <w:rStyle w:val="Hyperlink"/>
                <w:rFonts w:cs="Arial"/>
                <w:noProof/>
              </w:rPr>
              <w:t>Bankruptcy; Insolvency.</w:t>
            </w:r>
            <w:r>
              <w:rPr>
                <w:noProof/>
                <w:webHidden/>
              </w:rPr>
              <w:tab/>
            </w:r>
            <w:r>
              <w:rPr>
                <w:noProof/>
                <w:webHidden/>
              </w:rPr>
              <w:fldChar w:fldCharType="begin"/>
            </w:r>
            <w:r>
              <w:rPr>
                <w:noProof/>
                <w:webHidden/>
              </w:rPr>
              <w:instrText xml:space="preserve"> PAGEREF _Toc214644753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4BC0BC5E" w14:textId="2740E7D3">
          <w:pPr>
            <w:pStyle w:val="TOC2"/>
            <w:tabs>
              <w:tab w:val="left" w:pos="1440"/>
            </w:tabs>
            <w:rPr>
              <w:rFonts w:asciiTheme="minorHAnsi" w:hAnsiTheme="minorHAnsi" w:eastAsiaTheme="minorEastAsia"/>
              <w:noProof/>
              <w:sz w:val="24"/>
              <w:szCs w:val="24"/>
            </w:rPr>
          </w:pPr>
          <w:hyperlink w:history="1" w:anchor="_Toc214644754">
            <w:r w:rsidRPr="009B2599">
              <w:rPr>
                <w:rStyle w:val="Hyperlink"/>
                <w:rFonts w:cs="Arial"/>
                <w:caps/>
                <w:noProof/>
                <w:specVanish/>
              </w:rPr>
              <w:t>3.34</w:t>
            </w:r>
            <w:r>
              <w:rPr>
                <w:rFonts w:asciiTheme="minorHAnsi" w:hAnsiTheme="minorHAnsi" w:eastAsiaTheme="minorEastAsia"/>
                <w:noProof/>
                <w:sz w:val="24"/>
                <w:szCs w:val="24"/>
              </w:rPr>
              <w:tab/>
            </w:r>
            <w:r w:rsidRPr="009B2599">
              <w:rPr>
                <w:rStyle w:val="Hyperlink"/>
                <w:rFonts w:cs="Arial"/>
                <w:noProof/>
              </w:rPr>
              <w:t>Data Security and Cybersecurity.</w:t>
            </w:r>
            <w:r>
              <w:rPr>
                <w:noProof/>
                <w:webHidden/>
              </w:rPr>
              <w:tab/>
            </w:r>
            <w:r>
              <w:rPr>
                <w:noProof/>
                <w:webHidden/>
              </w:rPr>
              <w:fldChar w:fldCharType="begin"/>
            </w:r>
            <w:r>
              <w:rPr>
                <w:noProof/>
                <w:webHidden/>
              </w:rPr>
              <w:instrText xml:space="preserve"> PAGEREF _Toc214644754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3C073578" w14:textId="27F11D75">
          <w:pPr>
            <w:pStyle w:val="TOC1"/>
            <w:rPr>
              <w:rFonts w:asciiTheme="minorHAnsi" w:hAnsiTheme="minorHAnsi" w:eastAsiaTheme="minorEastAsia"/>
              <w:b w:val="0"/>
              <w:caps w:val="0"/>
              <w:noProof/>
              <w:sz w:val="24"/>
              <w:szCs w:val="24"/>
            </w:rPr>
          </w:pPr>
          <w:hyperlink w:history="1" w:anchor="_Toc214644755">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4.</w:t>
            </w:r>
            <w:r>
              <w:rPr>
                <w:rFonts w:asciiTheme="minorHAnsi" w:hAnsiTheme="minorHAnsi" w:eastAsiaTheme="minorEastAsia"/>
                <w:b w:val="0"/>
                <w:caps w:val="0"/>
                <w:noProof/>
                <w:sz w:val="24"/>
                <w:szCs w:val="24"/>
              </w:rPr>
              <w:tab/>
            </w:r>
            <w:r w:rsidRPr="009B2599">
              <w:rPr>
                <w:rStyle w:val="Hyperlink"/>
                <w:noProof/>
              </w:rPr>
              <w:t>Representations and Warranties of GPC</w:t>
            </w:r>
            <w:r>
              <w:rPr>
                <w:noProof/>
                <w:webHidden/>
              </w:rPr>
              <w:tab/>
            </w:r>
            <w:r>
              <w:rPr>
                <w:noProof/>
                <w:webHidden/>
              </w:rPr>
              <w:fldChar w:fldCharType="begin"/>
            </w:r>
            <w:r>
              <w:rPr>
                <w:noProof/>
                <w:webHidden/>
              </w:rPr>
              <w:instrText xml:space="preserve"> PAGEREF _Toc214644755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7B9B15D4" w14:textId="78239CE3">
          <w:pPr>
            <w:pStyle w:val="TOC2"/>
            <w:tabs>
              <w:tab w:val="left" w:pos="1440"/>
            </w:tabs>
            <w:rPr>
              <w:rFonts w:asciiTheme="minorHAnsi" w:hAnsiTheme="minorHAnsi" w:eastAsiaTheme="minorEastAsia"/>
              <w:noProof/>
              <w:sz w:val="24"/>
              <w:szCs w:val="24"/>
            </w:rPr>
          </w:pPr>
          <w:hyperlink w:history="1" w:anchor="_Toc214644756">
            <w:r w:rsidRPr="009B2599">
              <w:rPr>
                <w:rStyle w:val="Hyperlink"/>
                <w:rFonts w:cs="Arial"/>
                <w:caps/>
                <w:noProof/>
                <w:specVanish/>
              </w:rPr>
              <w:t>4.1</w:t>
            </w:r>
            <w:r>
              <w:rPr>
                <w:rFonts w:asciiTheme="minorHAnsi" w:hAnsiTheme="minorHAnsi" w:eastAsiaTheme="minorEastAsia"/>
                <w:noProof/>
                <w:sz w:val="24"/>
                <w:szCs w:val="24"/>
              </w:rPr>
              <w:tab/>
            </w:r>
            <w:r w:rsidRPr="009B2599">
              <w:rPr>
                <w:rStyle w:val="Hyperlink"/>
                <w:rFonts w:cs="Arial"/>
                <w:noProof/>
              </w:rPr>
              <w:t>Organization; Existence.</w:t>
            </w:r>
            <w:r>
              <w:rPr>
                <w:noProof/>
                <w:webHidden/>
              </w:rPr>
              <w:tab/>
            </w:r>
            <w:r>
              <w:rPr>
                <w:noProof/>
                <w:webHidden/>
              </w:rPr>
              <w:fldChar w:fldCharType="begin"/>
            </w:r>
            <w:r>
              <w:rPr>
                <w:noProof/>
                <w:webHidden/>
              </w:rPr>
              <w:instrText xml:space="preserve"> PAGEREF _Toc214644756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07A17309" w14:textId="790575A7">
          <w:pPr>
            <w:pStyle w:val="TOC2"/>
            <w:tabs>
              <w:tab w:val="left" w:pos="1440"/>
            </w:tabs>
            <w:rPr>
              <w:rFonts w:asciiTheme="minorHAnsi" w:hAnsiTheme="minorHAnsi" w:eastAsiaTheme="minorEastAsia"/>
              <w:noProof/>
              <w:sz w:val="24"/>
              <w:szCs w:val="24"/>
            </w:rPr>
          </w:pPr>
          <w:hyperlink w:history="1" w:anchor="_Toc214644757">
            <w:r w:rsidRPr="009B2599">
              <w:rPr>
                <w:rStyle w:val="Hyperlink"/>
                <w:rFonts w:cs="Arial"/>
                <w:caps/>
                <w:noProof/>
                <w:specVanish/>
              </w:rPr>
              <w:t>4.2</w:t>
            </w:r>
            <w:r>
              <w:rPr>
                <w:rFonts w:asciiTheme="minorHAnsi" w:hAnsiTheme="minorHAnsi" w:eastAsiaTheme="minorEastAsia"/>
                <w:noProof/>
                <w:sz w:val="24"/>
                <w:szCs w:val="24"/>
              </w:rPr>
              <w:tab/>
            </w:r>
            <w:r w:rsidRPr="009B2599">
              <w:rPr>
                <w:rStyle w:val="Hyperlink"/>
                <w:rFonts w:cs="Arial"/>
                <w:noProof/>
              </w:rPr>
              <w:t>Authorization; Enforceability.</w:t>
            </w:r>
            <w:r>
              <w:rPr>
                <w:noProof/>
                <w:webHidden/>
              </w:rPr>
              <w:tab/>
            </w:r>
            <w:r>
              <w:rPr>
                <w:noProof/>
                <w:webHidden/>
              </w:rPr>
              <w:fldChar w:fldCharType="begin"/>
            </w:r>
            <w:r>
              <w:rPr>
                <w:noProof/>
                <w:webHidden/>
              </w:rPr>
              <w:instrText xml:space="preserve"> PAGEREF _Toc214644757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57C6CE0D" w14:textId="7563DE22">
          <w:pPr>
            <w:pStyle w:val="TOC2"/>
            <w:tabs>
              <w:tab w:val="left" w:pos="1440"/>
            </w:tabs>
            <w:rPr>
              <w:rFonts w:asciiTheme="minorHAnsi" w:hAnsiTheme="minorHAnsi" w:eastAsiaTheme="minorEastAsia"/>
              <w:noProof/>
              <w:sz w:val="24"/>
              <w:szCs w:val="24"/>
            </w:rPr>
          </w:pPr>
          <w:hyperlink w:history="1" w:anchor="_Toc214644758">
            <w:r w:rsidRPr="009B2599">
              <w:rPr>
                <w:rStyle w:val="Hyperlink"/>
                <w:rFonts w:cs="Arial"/>
                <w:caps/>
                <w:noProof/>
                <w:specVanish/>
              </w:rPr>
              <w:t>4.3</w:t>
            </w:r>
            <w:r>
              <w:rPr>
                <w:rFonts w:asciiTheme="minorHAnsi" w:hAnsiTheme="minorHAnsi" w:eastAsiaTheme="minorEastAsia"/>
                <w:noProof/>
                <w:sz w:val="24"/>
                <w:szCs w:val="24"/>
              </w:rPr>
              <w:tab/>
            </w:r>
            <w:r w:rsidRPr="009B2599">
              <w:rPr>
                <w:rStyle w:val="Hyperlink"/>
                <w:rFonts w:cs="Arial"/>
                <w:noProof/>
              </w:rPr>
              <w:t>No Conflicts.</w:t>
            </w:r>
            <w:r>
              <w:rPr>
                <w:noProof/>
                <w:webHidden/>
              </w:rPr>
              <w:tab/>
            </w:r>
            <w:r>
              <w:rPr>
                <w:noProof/>
                <w:webHidden/>
              </w:rPr>
              <w:fldChar w:fldCharType="begin"/>
            </w:r>
            <w:r>
              <w:rPr>
                <w:noProof/>
                <w:webHidden/>
              </w:rPr>
              <w:instrText xml:space="preserve"> PAGEREF _Toc214644758 \h </w:instrText>
            </w:r>
            <w:r>
              <w:rPr>
                <w:noProof/>
                <w:webHidden/>
              </w:rPr>
            </w:r>
            <w:r>
              <w:rPr>
                <w:noProof/>
                <w:webHidden/>
              </w:rPr>
              <w:fldChar w:fldCharType="separate"/>
            </w:r>
            <w:r>
              <w:rPr>
                <w:noProof/>
                <w:webHidden/>
              </w:rPr>
              <w:t>33</w:t>
            </w:r>
            <w:r>
              <w:rPr>
                <w:noProof/>
                <w:webHidden/>
              </w:rPr>
              <w:fldChar w:fldCharType="end"/>
            </w:r>
          </w:hyperlink>
        </w:p>
        <w:p w:rsidR="002B196E" w:rsidRDefault="002B196E" w14:paraId="00DBA1E4" w14:textId="24866E19">
          <w:pPr>
            <w:pStyle w:val="TOC2"/>
            <w:tabs>
              <w:tab w:val="left" w:pos="1440"/>
            </w:tabs>
            <w:rPr>
              <w:rFonts w:asciiTheme="minorHAnsi" w:hAnsiTheme="minorHAnsi" w:eastAsiaTheme="minorEastAsia"/>
              <w:noProof/>
              <w:sz w:val="24"/>
              <w:szCs w:val="24"/>
            </w:rPr>
          </w:pPr>
          <w:hyperlink w:history="1" w:anchor="_Toc214644759">
            <w:r w:rsidRPr="009B2599">
              <w:rPr>
                <w:rStyle w:val="Hyperlink"/>
                <w:rFonts w:cs="Arial"/>
                <w:caps/>
                <w:noProof/>
                <w:specVanish/>
              </w:rPr>
              <w:t>4.4</w:t>
            </w:r>
            <w:r>
              <w:rPr>
                <w:rFonts w:asciiTheme="minorHAnsi" w:hAnsiTheme="minorHAnsi" w:eastAsiaTheme="minorEastAsia"/>
                <w:noProof/>
                <w:sz w:val="24"/>
                <w:szCs w:val="24"/>
              </w:rPr>
              <w:tab/>
            </w:r>
            <w:r w:rsidRPr="009B2599">
              <w:rPr>
                <w:rStyle w:val="Hyperlink"/>
                <w:rFonts w:cs="Arial"/>
                <w:noProof/>
              </w:rPr>
              <w:t>Governmental Consents.</w:t>
            </w:r>
            <w:r>
              <w:rPr>
                <w:noProof/>
                <w:webHidden/>
              </w:rPr>
              <w:tab/>
            </w:r>
            <w:r>
              <w:rPr>
                <w:noProof/>
                <w:webHidden/>
              </w:rPr>
              <w:fldChar w:fldCharType="begin"/>
            </w:r>
            <w:r>
              <w:rPr>
                <w:noProof/>
                <w:webHidden/>
              </w:rPr>
              <w:instrText xml:space="preserve"> PAGEREF _Toc214644759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04DE6127" w14:textId="608A9EF4">
          <w:pPr>
            <w:pStyle w:val="TOC2"/>
            <w:tabs>
              <w:tab w:val="left" w:pos="1440"/>
            </w:tabs>
            <w:rPr>
              <w:rFonts w:asciiTheme="minorHAnsi" w:hAnsiTheme="minorHAnsi" w:eastAsiaTheme="minorEastAsia"/>
              <w:noProof/>
              <w:sz w:val="24"/>
              <w:szCs w:val="24"/>
            </w:rPr>
          </w:pPr>
          <w:hyperlink w:history="1" w:anchor="_Toc214644760">
            <w:r w:rsidRPr="009B2599">
              <w:rPr>
                <w:rStyle w:val="Hyperlink"/>
                <w:rFonts w:cs="Arial"/>
                <w:caps/>
                <w:noProof/>
                <w:specVanish/>
              </w:rPr>
              <w:t>4.5</w:t>
            </w:r>
            <w:r>
              <w:rPr>
                <w:rFonts w:asciiTheme="minorHAnsi" w:hAnsiTheme="minorHAnsi" w:eastAsiaTheme="minorEastAsia"/>
                <w:noProof/>
                <w:sz w:val="24"/>
                <w:szCs w:val="24"/>
              </w:rPr>
              <w:tab/>
            </w:r>
            <w:r w:rsidRPr="009B2599">
              <w:rPr>
                <w:rStyle w:val="Hyperlink"/>
                <w:rFonts w:cs="Arial"/>
                <w:noProof/>
              </w:rPr>
              <w:t>Compliance with Laws.</w:t>
            </w:r>
            <w:r>
              <w:rPr>
                <w:noProof/>
                <w:webHidden/>
              </w:rPr>
              <w:tab/>
            </w:r>
            <w:r>
              <w:rPr>
                <w:noProof/>
                <w:webHidden/>
              </w:rPr>
              <w:fldChar w:fldCharType="begin"/>
            </w:r>
            <w:r>
              <w:rPr>
                <w:noProof/>
                <w:webHidden/>
              </w:rPr>
              <w:instrText xml:space="preserve"> PAGEREF _Toc214644760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6241C6EB" w14:textId="5BD6FBFA">
          <w:pPr>
            <w:pStyle w:val="TOC2"/>
            <w:tabs>
              <w:tab w:val="left" w:pos="1440"/>
            </w:tabs>
            <w:rPr>
              <w:rFonts w:asciiTheme="minorHAnsi" w:hAnsiTheme="minorHAnsi" w:eastAsiaTheme="minorEastAsia"/>
              <w:noProof/>
              <w:sz w:val="24"/>
              <w:szCs w:val="24"/>
            </w:rPr>
          </w:pPr>
          <w:hyperlink w:history="1" w:anchor="_Toc214644761">
            <w:r w:rsidRPr="009B2599">
              <w:rPr>
                <w:rStyle w:val="Hyperlink"/>
                <w:rFonts w:cs="Arial"/>
                <w:caps/>
                <w:noProof/>
                <w:specVanish/>
              </w:rPr>
              <w:t>4.6</w:t>
            </w:r>
            <w:r>
              <w:rPr>
                <w:rFonts w:asciiTheme="minorHAnsi" w:hAnsiTheme="minorHAnsi" w:eastAsiaTheme="minorEastAsia"/>
                <w:noProof/>
                <w:sz w:val="24"/>
                <w:szCs w:val="24"/>
              </w:rPr>
              <w:tab/>
            </w:r>
            <w:r w:rsidRPr="009B2599">
              <w:rPr>
                <w:rStyle w:val="Hyperlink"/>
                <w:rFonts w:cs="Arial"/>
                <w:noProof/>
              </w:rPr>
              <w:t>Legal Proceedings.</w:t>
            </w:r>
            <w:r>
              <w:rPr>
                <w:noProof/>
                <w:webHidden/>
              </w:rPr>
              <w:tab/>
            </w:r>
            <w:r>
              <w:rPr>
                <w:noProof/>
                <w:webHidden/>
              </w:rPr>
              <w:fldChar w:fldCharType="begin"/>
            </w:r>
            <w:r>
              <w:rPr>
                <w:noProof/>
                <w:webHidden/>
              </w:rPr>
              <w:instrText xml:space="preserve"> PAGEREF _Toc214644761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10792216" w14:textId="0F2D4820">
          <w:pPr>
            <w:pStyle w:val="TOC2"/>
            <w:tabs>
              <w:tab w:val="left" w:pos="1440"/>
            </w:tabs>
            <w:rPr>
              <w:rFonts w:asciiTheme="minorHAnsi" w:hAnsiTheme="minorHAnsi" w:eastAsiaTheme="minorEastAsia"/>
              <w:noProof/>
              <w:sz w:val="24"/>
              <w:szCs w:val="24"/>
            </w:rPr>
          </w:pPr>
          <w:hyperlink w:history="1" w:anchor="_Toc214644762">
            <w:r w:rsidRPr="009B2599">
              <w:rPr>
                <w:rStyle w:val="Hyperlink"/>
                <w:rFonts w:cs="Arial"/>
                <w:caps/>
                <w:noProof/>
                <w:specVanish/>
              </w:rPr>
              <w:t>4.7</w:t>
            </w:r>
            <w:r>
              <w:rPr>
                <w:rFonts w:asciiTheme="minorHAnsi" w:hAnsiTheme="minorHAnsi" w:eastAsiaTheme="minorEastAsia"/>
                <w:noProof/>
                <w:sz w:val="24"/>
                <w:szCs w:val="24"/>
              </w:rPr>
              <w:tab/>
            </w:r>
            <w:r w:rsidRPr="009B2599">
              <w:rPr>
                <w:rStyle w:val="Hyperlink"/>
                <w:rFonts w:cs="Arial"/>
                <w:noProof/>
              </w:rPr>
              <w:t>Brokers.</w:t>
            </w:r>
            <w:r>
              <w:rPr>
                <w:noProof/>
                <w:webHidden/>
              </w:rPr>
              <w:tab/>
            </w:r>
            <w:r>
              <w:rPr>
                <w:noProof/>
                <w:webHidden/>
              </w:rPr>
              <w:fldChar w:fldCharType="begin"/>
            </w:r>
            <w:r>
              <w:rPr>
                <w:noProof/>
                <w:webHidden/>
              </w:rPr>
              <w:instrText xml:space="preserve"> PAGEREF _Toc214644762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121D721F" w14:textId="1C9923FD">
          <w:pPr>
            <w:pStyle w:val="TOC2"/>
            <w:tabs>
              <w:tab w:val="left" w:pos="1440"/>
            </w:tabs>
            <w:rPr>
              <w:rFonts w:asciiTheme="minorHAnsi" w:hAnsiTheme="minorHAnsi" w:eastAsiaTheme="minorEastAsia"/>
              <w:noProof/>
              <w:sz w:val="24"/>
              <w:szCs w:val="24"/>
            </w:rPr>
          </w:pPr>
          <w:hyperlink w:history="1" w:anchor="_Toc214644763">
            <w:r w:rsidRPr="009B2599">
              <w:rPr>
                <w:rStyle w:val="Hyperlink"/>
                <w:rFonts w:cs="Arial"/>
                <w:caps/>
                <w:noProof/>
                <w:specVanish/>
              </w:rPr>
              <w:t>4.8</w:t>
            </w:r>
            <w:r>
              <w:rPr>
                <w:rFonts w:asciiTheme="minorHAnsi" w:hAnsiTheme="minorHAnsi" w:eastAsiaTheme="minorEastAsia"/>
                <w:noProof/>
                <w:sz w:val="24"/>
                <w:szCs w:val="24"/>
              </w:rPr>
              <w:tab/>
            </w:r>
            <w:r w:rsidRPr="009B2599">
              <w:rPr>
                <w:rStyle w:val="Hyperlink"/>
                <w:rFonts w:cs="Arial"/>
                <w:noProof/>
              </w:rPr>
              <w:t>Available Funds.</w:t>
            </w:r>
            <w:r>
              <w:rPr>
                <w:noProof/>
                <w:webHidden/>
              </w:rPr>
              <w:tab/>
            </w:r>
            <w:r>
              <w:rPr>
                <w:noProof/>
                <w:webHidden/>
              </w:rPr>
              <w:fldChar w:fldCharType="begin"/>
            </w:r>
            <w:r>
              <w:rPr>
                <w:noProof/>
                <w:webHidden/>
              </w:rPr>
              <w:instrText xml:space="preserve"> PAGEREF _Toc214644763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0EAFD7B9" w14:textId="1FA3CE5B">
          <w:pPr>
            <w:pStyle w:val="TOC2"/>
            <w:tabs>
              <w:tab w:val="left" w:pos="1440"/>
            </w:tabs>
            <w:rPr>
              <w:rFonts w:asciiTheme="minorHAnsi" w:hAnsiTheme="minorHAnsi" w:eastAsiaTheme="minorEastAsia"/>
              <w:noProof/>
              <w:sz w:val="24"/>
              <w:szCs w:val="24"/>
            </w:rPr>
          </w:pPr>
          <w:hyperlink w:history="1" w:anchor="_Toc214644764">
            <w:r w:rsidRPr="009B2599">
              <w:rPr>
                <w:rStyle w:val="Hyperlink"/>
                <w:rFonts w:cs="Arial"/>
                <w:caps/>
                <w:noProof/>
                <w:specVanish/>
              </w:rPr>
              <w:t>4.9</w:t>
            </w:r>
            <w:r>
              <w:rPr>
                <w:rFonts w:asciiTheme="minorHAnsi" w:hAnsiTheme="minorHAnsi" w:eastAsiaTheme="minorEastAsia"/>
                <w:noProof/>
                <w:sz w:val="24"/>
                <w:szCs w:val="24"/>
              </w:rPr>
              <w:tab/>
            </w:r>
            <w:r w:rsidRPr="009B2599">
              <w:rPr>
                <w:rStyle w:val="Hyperlink"/>
                <w:noProof/>
              </w:rPr>
              <w:t>Non-Reliance.</w:t>
            </w:r>
            <w:r>
              <w:rPr>
                <w:noProof/>
                <w:webHidden/>
              </w:rPr>
              <w:tab/>
            </w:r>
            <w:r>
              <w:rPr>
                <w:noProof/>
                <w:webHidden/>
              </w:rPr>
              <w:fldChar w:fldCharType="begin"/>
            </w:r>
            <w:r>
              <w:rPr>
                <w:noProof/>
                <w:webHidden/>
              </w:rPr>
              <w:instrText xml:space="preserve"> PAGEREF _Toc214644764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0AF37A20" w14:textId="5690A546">
          <w:pPr>
            <w:pStyle w:val="TOC1"/>
            <w:rPr>
              <w:rFonts w:asciiTheme="minorHAnsi" w:hAnsiTheme="minorHAnsi" w:eastAsiaTheme="minorEastAsia"/>
              <w:b w:val="0"/>
              <w:caps w:val="0"/>
              <w:noProof/>
              <w:sz w:val="24"/>
              <w:szCs w:val="24"/>
            </w:rPr>
          </w:pPr>
          <w:hyperlink w:history="1" w:anchor="_Toc214644765">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5.</w:t>
            </w:r>
            <w:r>
              <w:rPr>
                <w:rFonts w:asciiTheme="minorHAnsi" w:hAnsiTheme="minorHAnsi" w:eastAsiaTheme="minorEastAsia"/>
                <w:b w:val="0"/>
                <w:caps w:val="0"/>
                <w:noProof/>
                <w:sz w:val="24"/>
                <w:szCs w:val="24"/>
              </w:rPr>
              <w:tab/>
            </w:r>
            <w:r w:rsidRPr="009B2599">
              <w:rPr>
                <w:rStyle w:val="Hyperlink"/>
                <w:noProof/>
              </w:rPr>
              <w:t>General Covenants</w:t>
            </w:r>
            <w:r>
              <w:rPr>
                <w:noProof/>
                <w:webHidden/>
              </w:rPr>
              <w:tab/>
            </w:r>
            <w:r>
              <w:rPr>
                <w:noProof/>
                <w:webHidden/>
              </w:rPr>
              <w:fldChar w:fldCharType="begin"/>
            </w:r>
            <w:r>
              <w:rPr>
                <w:noProof/>
                <w:webHidden/>
              </w:rPr>
              <w:instrText xml:space="preserve"> PAGEREF _Toc214644765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39A0CDA8" w14:textId="49174B9F">
          <w:pPr>
            <w:pStyle w:val="TOC2"/>
            <w:tabs>
              <w:tab w:val="left" w:pos="1440"/>
            </w:tabs>
            <w:rPr>
              <w:rFonts w:asciiTheme="minorHAnsi" w:hAnsiTheme="minorHAnsi" w:eastAsiaTheme="minorEastAsia"/>
              <w:noProof/>
              <w:sz w:val="24"/>
              <w:szCs w:val="24"/>
            </w:rPr>
          </w:pPr>
          <w:hyperlink w:history="1" w:anchor="_Toc214644766">
            <w:r w:rsidRPr="009B2599">
              <w:rPr>
                <w:rStyle w:val="Hyperlink"/>
                <w:rFonts w:cs="Arial"/>
                <w:caps/>
                <w:noProof/>
              </w:rPr>
              <w:t>5.1</w:t>
            </w:r>
            <w:r>
              <w:rPr>
                <w:rFonts w:asciiTheme="minorHAnsi" w:hAnsiTheme="minorHAnsi" w:eastAsiaTheme="minorEastAsia"/>
                <w:noProof/>
                <w:sz w:val="24"/>
                <w:szCs w:val="24"/>
              </w:rPr>
              <w:tab/>
            </w:r>
            <w:r w:rsidRPr="009B2599">
              <w:rPr>
                <w:rStyle w:val="Hyperlink"/>
                <w:rFonts w:cs="Arial"/>
                <w:noProof/>
              </w:rPr>
              <w:t>Consents; Regulatory Approvals.</w:t>
            </w:r>
            <w:r>
              <w:rPr>
                <w:noProof/>
                <w:webHidden/>
              </w:rPr>
              <w:tab/>
            </w:r>
            <w:r>
              <w:rPr>
                <w:noProof/>
                <w:webHidden/>
              </w:rPr>
              <w:fldChar w:fldCharType="begin"/>
            </w:r>
            <w:r>
              <w:rPr>
                <w:noProof/>
                <w:webHidden/>
              </w:rPr>
              <w:instrText xml:space="preserve"> PAGEREF _Toc214644766 \h </w:instrText>
            </w:r>
            <w:r>
              <w:rPr>
                <w:noProof/>
                <w:webHidden/>
              </w:rPr>
            </w:r>
            <w:r>
              <w:rPr>
                <w:noProof/>
                <w:webHidden/>
              </w:rPr>
              <w:fldChar w:fldCharType="separate"/>
            </w:r>
            <w:r>
              <w:rPr>
                <w:noProof/>
                <w:webHidden/>
              </w:rPr>
              <w:t>34</w:t>
            </w:r>
            <w:r>
              <w:rPr>
                <w:noProof/>
                <w:webHidden/>
              </w:rPr>
              <w:fldChar w:fldCharType="end"/>
            </w:r>
          </w:hyperlink>
        </w:p>
        <w:p w:rsidR="002B196E" w:rsidRDefault="002B196E" w14:paraId="68FE6A10" w14:textId="74B67724">
          <w:pPr>
            <w:pStyle w:val="TOC2"/>
            <w:tabs>
              <w:tab w:val="left" w:pos="1440"/>
            </w:tabs>
            <w:rPr>
              <w:rFonts w:asciiTheme="minorHAnsi" w:hAnsiTheme="minorHAnsi" w:eastAsiaTheme="minorEastAsia"/>
              <w:noProof/>
              <w:sz w:val="24"/>
              <w:szCs w:val="24"/>
            </w:rPr>
          </w:pPr>
          <w:hyperlink w:history="1" w:anchor="_Toc214644767">
            <w:r w:rsidRPr="009B2599">
              <w:rPr>
                <w:rStyle w:val="Hyperlink"/>
                <w:rFonts w:cs="Arial"/>
                <w:caps/>
                <w:noProof/>
                <w:specVanish/>
              </w:rPr>
              <w:t>5.2</w:t>
            </w:r>
            <w:r>
              <w:rPr>
                <w:rFonts w:asciiTheme="minorHAnsi" w:hAnsiTheme="minorHAnsi" w:eastAsiaTheme="minorEastAsia"/>
                <w:noProof/>
                <w:sz w:val="24"/>
                <w:szCs w:val="24"/>
              </w:rPr>
              <w:tab/>
            </w:r>
            <w:r w:rsidRPr="009B2599">
              <w:rPr>
                <w:rStyle w:val="Hyperlink"/>
                <w:rFonts w:cs="Arial"/>
                <w:noProof/>
              </w:rPr>
              <w:t>Access to Information.</w:t>
            </w:r>
            <w:r>
              <w:rPr>
                <w:noProof/>
                <w:webHidden/>
              </w:rPr>
              <w:tab/>
            </w:r>
            <w:r>
              <w:rPr>
                <w:noProof/>
                <w:webHidden/>
              </w:rPr>
              <w:fldChar w:fldCharType="begin"/>
            </w:r>
            <w:r>
              <w:rPr>
                <w:noProof/>
                <w:webHidden/>
              </w:rPr>
              <w:instrText xml:space="preserve"> PAGEREF _Toc214644767 \h </w:instrText>
            </w:r>
            <w:r>
              <w:rPr>
                <w:noProof/>
                <w:webHidden/>
              </w:rPr>
            </w:r>
            <w:r>
              <w:rPr>
                <w:noProof/>
                <w:webHidden/>
              </w:rPr>
              <w:fldChar w:fldCharType="separate"/>
            </w:r>
            <w:r>
              <w:rPr>
                <w:noProof/>
                <w:webHidden/>
              </w:rPr>
              <w:t>36</w:t>
            </w:r>
            <w:r>
              <w:rPr>
                <w:noProof/>
                <w:webHidden/>
              </w:rPr>
              <w:fldChar w:fldCharType="end"/>
            </w:r>
          </w:hyperlink>
        </w:p>
        <w:p w:rsidR="002B196E" w:rsidRDefault="002B196E" w14:paraId="0337E552" w14:textId="49C98B2E">
          <w:pPr>
            <w:pStyle w:val="TOC2"/>
            <w:tabs>
              <w:tab w:val="left" w:pos="1440"/>
            </w:tabs>
            <w:rPr>
              <w:rFonts w:asciiTheme="minorHAnsi" w:hAnsiTheme="minorHAnsi" w:eastAsiaTheme="minorEastAsia"/>
              <w:noProof/>
              <w:sz w:val="24"/>
              <w:szCs w:val="24"/>
            </w:rPr>
          </w:pPr>
          <w:hyperlink w:history="1" w:anchor="_Toc214644768">
            <w:r w:rsidRPr="009B2599">
              <w:rPr>
                <w:rStyle w:val="Hyperlink"/>
                <w:rFonts w:cs="Arial"/>
                <w:caps/>
                <w:noProof/>
              </w:rPr>
              <w:t>5.3</w:t>
            </w:r>
            <w:r>
              <w:rPr>
                <w:rFonts w:asciiTheme="minorHAnsi" w:hAnsiTheme="minorHAnsi" w:eastAsiaTheme="minorEastAsia"/>
                <w:noProof/>
                <w:sz w:val="24"/>
                <w:szCs w:val="24"/>
              </w:rPr>
              <w:tab/>
            </w:r>
            <w:r w:rsidRPr="009B2599">
              <w:rPr>
                <w:rStyle w:val="Hyperlink"/>
                <w:rFonts w:cs="Arial"/>
                <w:noProof/>
              </w:rPr>
              <w:t>Conduct of Business.</w:t>
            </w:r>
            <w:r>
              <w:rPr>
                <w:noProof/>
                <w:webHidden/>
              </w:rPr>
              <w:tab/>
            </w:r>
            <w:r>
              <w:rPr>
                <w:noProof/>
                <w:webHidden/>
              </w:rPr>
              <w:fldChar w:fldCharType="begin"/>
            </w:r>
            <w:r>
              <w:rPr>
                <w:noProof/>
                <w:webHidden/>
              </w:rPr>
              <w:instrText xml:space="preserve"> PAGEREF _Toc214644768 \h </w:instrText>
            </w:r>
            <w:r>
              <w:rPr>
                <w:noProof/>
                <w:webHidden/>
              </w:rPr>
            </w:r>
            <w:r>
              <w:rPr>
                <w:noProof/>
                <w:webHidden/>
              </w:rPr>
              <w:fldChar w:fldCharType="separate"/>
            </w:r>
            <w:r>
              <w:rPr>
                <w:noProof/>
                <w:webHidden/>
              </w:rPr>
              <w:t>37</w:t>
            </w:r>
            <w:r>
              <w:rPr>
                <w:noProof/>
                <w:webHidden/>
              </w:rPr>
              <w:fldChar w:fldCharType="end"/>
            </w:r>
          </w:hyperlink>
        </w:p>
        <w:p w:rsidR="002B196E" w:rsidRDefault="002B196E" w14:paraId="126537C9" w14:textId="529816C7">
          <w:pPr>
            <w:pStyle w:val="TOC2"/>
            <w:tabs>
              <w:tab w:val="left" w:pos="1440"/>
            </w:tabs>
            <w:rPr>
              <w:rFonts w:asciiTheme="minorHAnsi" w:hAnsiTheme="minorHAnsi" w:eastAsiaTheme="minorEastAsia"/>
              <w:noProof/>
              <w:sz w:val="24"/>
              <w:szCs w:val="24"/>
            </w:rPr>
          </w:pPr>
          <w:hyperlink w:history="1" w:anchor="_Toc214644769">
            <w:r w:rsidRPr="009B2599">
              <w:rPr>
                <w:rStyle w:val="Hyperlink"/>
                <w:rFonts w:cs="Arial"/>
                <w:caps/>
                <w:noProof/>
                <w:specVanish/>
              </w:rPr>
              <w:t>5.4</w:t>
            </w:r>
            <w:r>
              <w:rPr>
                <w:rFonts w:asciiTheme="minorHAnsi" w:hAnsiTheme="minorHAnsi" w:eastAsiaTheme="minorEastAsia"/>
                <w:noProof/>
                <w:sz w:val="24"/>
                <w:szCs w:val="24"/>
              </w:rPr>
              <w:tab/>
            </w:r>
            <w:r w:rsidRPr="009B2599">
              <w:rPr>
                <w:rStyle w:val="Hyperlink"/>
                <w:rFonts w:cs="Arial"/>
                <w:noProof/>
              </w:rPr>
              <w:t>Termination of Intercompany Obligations and Affiliate Arrangements.</w:t>
            </w:r>
            <w:r>
              <w:rPr>
                <w:noProof/>
                <w:webHidden/>
              </w:rPr>
              <w:tab/>
            </w:r>
            <w:r>
              <w:rPr>
                <w:noProof/>
                <w:webHidden/>
              </w:rPr>
              <w:fldChar w:fldCharType="begin"/>
            </w:r>
            <w:r>
              <w:rPr>
                <w:noProof/>
                <w:webHidden/>
              </w:rPr>
              <w:instrText xml:space="preserve"> PAGEREF _Toc214644769 \h </w:instrText>
            </w:r>
            <w:r>
              <w:rPr>
                <w:noProof/>
                <w:webHidden/>
              </w:rPr>
            </w:r>
            <w:r>
              <w:rPr>
                <w:noProof/>
                <w:webHidden/>
              </w:rPr>
              <w:fldChar w:fldCharType="separate"/>
            </w:r>
            <w:r>
              <w:rPr>
                <w:noProof/>
                <w:webHidden/>
              </w:rPr>
              <w:t>38</w:t>
            </w:r>
            <w:r>
              <w:rPr>
                <w:noProof/>
                <w:webHidden/>
              </w:rPr>
              <w:fldChar w:fldCharType="end"/>
            </w:r>
          </w:hyperlink>
        </w:p>
        <w:p w:rsidR="002B196E" w:rsidRDefault="002B196E" w14:paraId="5019C7F4" w14:textId="5BAA818C">
          <w:pPr>
            <w:pStyle w:val="TOC2"/>
            <w:tabs>
              <w:tab w:val="left" w:pos="1440"/>
            </w:tabs>
            <w:rPr>
              <w:rFonts w:asciiTheme="minorHAnsi" w:hAnsiTheme="minorHAnsi" w:eastAsiaTheme="minorEastAsia"/>
              <w:noProof/>
              <w:sz w:val="24"/>
              <w:szCs w:val="24"/>
            </w:rPr>
          </w:pPr>
          <w:hyperlink w:history="1" w:anchor="_Toc214644770">
            <w:r w:rsidRPr="009B2599">
              <w:rPr>
                <w:rStyle w:val="Hyperlink"/>
                <w:rFonts w:cs="Arial"/>
                <w:caps/>
                <w:noProof/>
              </w:rPr>
              <w:t>5.5</w:t>
            </w:r>
            <w:r>
              <w:rPr>
                <w:rFonts w:asciiTheme="minorHAnsi" w:hAnsiTheme="minorHAnsi" w:eastAsiaTheme="minorEastAsia"/>
                <w:noProof/>
                <w:sz w:val="24"/>
                <w:szCs w:val="24"/>
              </w:rPr>
              <w:tab/>
            </w:r>
            <w:r w:rsidRPr="009B2599">
              <w:rPr>
                <w:rStyle w:val="Hyperlink"/>
                <w:rFonts w:cs="Arial"/>
                <w:noProof/>
              </w:rPr>
              <w:t>Confidentiality; Public Statements or Press Releases.</w:t>
            </w:r>
            <w:r>
              <w:rPr>
                <w:noProof/>
                <w:webHidden/>
              </w:rPr>
              <w:tab/>
            </w:r>
            <w:r>
              <w:rPr>
                <w:noProof/>
                <w:webHidden/>
              </w:rPr>
              <w:fldChar w:fldCharType="begin"/>
            </w:r>
            <w:r>
              <w:rPr>
                <w:noProof/>
                <w:webHidden/>
              </w:rPr>
              <w:instrText xml:space="preserve"> PAGEREF _Toc214644770 \h </w:instrText>
            </w:r>
            <w:r>
              <w:rPr>
                <w:noProof/>
                <w:webHidden/>
              </w:rPr>
            </w:r>
            <w:r>
              <w:rPr>
                <w:noProof/>
                <w:webHidden/>
              </w:rPr>
              <w:fldChar w:fldCharType="separate"/>
            </w:r>
            <w:r>
              <w:rPr>
                <w:noProof/>
                <w:webHidden/>
              </w:rPr>
              <w:t>39</w:t>
            </w:r>
            <w:r>
              <w:rPr>
                <w:noProof/>
                <w:webHidden/>
              </w:rPr>
              <w:fldChar w:fldCharType="end"/>
            </w:r>
          </w:hyperlink>
        </w:p>
        <w:p w:rsidR="002B196E" w:rsidRDefault="002B196E" w14:paraId="0818B363" w14:textId="16AC7EB1">
          <w:pPr>
            <w:pStyle w:val="TOC2"/>
            <w:tabs>
              <w:tab w:val="left" w:pos="1440"/>
            </w:tabs>
            <w:rPr>
              <w:rFonts w:asciiTheme="minorHAnsi" w:hAnsiTheme="minorHAnsi" w:eastAsiaTheme="minorEastAsia"/>
              <w:noProof/>
              <w:sz w:val="24"/>
              <w:szCs w:val="24"/>
            </w:rPr>
          </w:pPr>
          <w:hyperlink w:history="1" w:anchor="_Toc214644771">
            <w:r w:rsidRPr="009B2599">
              <w:rPr>
                <w:rStyle w:val="Hyperlink"/>
                <w:rFonts w:cs="Arial"/>
                <w:caps/>
                <w:noProof/>
                <w:specVanish/>
              </w:rPr>
              <w:t>5.6</w:t>
            </w:r>
            <w:r>
              <w:rPr>
                <w:rFonts w:asciiTheme="minorHAnsi" w:hAnsiTheme="minorHAnsi" w:eastAsiaTheme="minorEastAsia"/>
                <w:noProof/>
                <w:sz w:val="24"/>
                <w:szCs w:val="24"/>
              </w:rPr>
              <w:tab/>
            </w:r>
            <w:r w:rsidRPr="009B2599">
              <w:rPr>
                <w:rStyle w:val="Hyperlink"/>
                <w:rFonts w:cs="Arial"/>
                <w:noProof/>
              </w:rPr>
              <w:t>Expenses.</w:t>
            </w:r>
            <w:r>
              <w:rPr>
                <w:noProof/>
                <w:webHidden/>
              </w:rPr>
              <w:tab/>
            </w:r>
            <w:r>
              <w:rPr>
                <w:noProof/>
                <w:webHidden/>
              </w:rPr>
              <w:fldChar w:fldCharType="begin"/>
            </w:r>
            <w:r>
              <w:rPr>
                <w:noProof/>
                <w:webHidden/>
              </w:rPr>
              <w:instrText xml:space="preserve"> PAGEREF _Toc214644771 \h </w:instrText>
            </w:r>
            <w:r>
              <w:rPr>
                <w:noProof/>
                <w:webHidden/>
              </w:rPr>
            </w:r>
            <w:r>
              <w:rPr>
                <w:noProof/>
                <w:webHidden/>
              </w:rPr>
              <w:fldChar w:fldCharType="separate"/>
            </w:r>
            <w:r>
              <w:rPr>
                <w:noProof/>
                <w:webHidden/>
              </w:rPr>
              <w:t>39</w:t>
            </w:r>
            <w:r>
              <w:rPr>
                <w:noProof/>
                <w:webHidden/>
              </w:rPr>
              <w:fldChar w:fldCharType="end"/>
            </w:r>
          </w:hyperlink>
        </w:p>
        <w:p w:rsidR="002B196E" w:rsidRDefault="002B196E" w14:paraId="36A684FA" w14:textId="747799E6">
          <w:pPr>
            <w:pStyle w:val="TOC2"/>
            <w:tabs>
              <w:tab w:val="left" w:pos="1440"/>
            </w:tabs>
            <w:rPr>
              <w:rFonts w:asciiTheme="minorHAnsi" w:hAnsiTheme="minorHAnsi" w:eastAsiaTheme="minorEastAsia"/>
              <w:noProof/>
              <w:sz w:val="24"/>
              <w:szCs w:val="24"/>
            </w:rPr>
          </w:pPr>
          <w:hyperlink w:history="1" w:anchor="_Toc214644772">
            <w:r w:rsidRPr="009B2599">
              <w:rPr>
                <w:rStyle w:val="Hyperlink"/>
                <w:rFonts w:cs="Arial"/>
                <w:caps/>
                <w:noProof/>
              </w:rPr>
              <w:t>5.7</w:t>
            </w:r>
            <w:r>
              <w:rPr>
                <w:rFonts w:asciiTheme="minorHAnsi" w:hAnsiTheme="minorHAnsi" w:eastAsiaTheme="minorEastAsia"/>
                <w:noProof/>
                <w:sz w:val="24"/>
                <w:szCs w:val="24"/>
              </w:rPr>
              <w:tab/>
            </w:r>
            <w:r w:rsidRPr="009B2599">
              <w:rPr>
                <w:rStyle w:val="Hyperlink"/>
                <w:rFonts w:cs="Arial"/>
                <w:noProof/>
              </w:rPr>
              <w:t>Further Assurances.</w:t>
            </w:r>
            <w:r>
              <w:rPr>
                <w:noProof/>
                <w:webHidden/>
              </w:rPr>
              <w:tab/>
            </w:r>
            <w:r>
              <w:rPr>
                <w:noProof/>
                <w:webHidden/>
              </w:rPr>
              <w:fldChar w:fldCharType="begin"/>
            </w:r>
            <w:r>
              <w:rPr>
                <w:noProof/>
                <w:webHidden/>
              </w:rPr>
              <w:instrText xml:space="preserve"> PAGEREF _Toc214644772 \h </w:instrText>
            </w:r>
            <w:r>
              <w:rPr>
                <w:noProof/>
                <w:webHidden/>
              </w:rPr>
            </w:r>
            <w:r>
              <w:rPr>
                <w:noProof/>
                <w:webHidden/>
              </w:rPr>
              <w:fldChar w:fldCharType="separate"/>
            </w:r>
            <w:r>
              <w:rPr>
                <w:noProof/>
                <w:webHidden/>
              </w:rPr>
              <w:t>39</w:t>
            </w:r>
            <w:r>
              <w:rPr>
                <w:noProof/>
                <w:webHidden/>
              </w:rPr>
              <w:fldChar w:fldCharType="end"/>
            </w:r>
          </w:hyperlink>
        </w:p>
        <w:p w:rsidR="002B196E" w:rsidRDefault="002B196E" w14:paraId="2D484483" w14:textId="6CBD36E9">
          <w:pPr>
            <w:pStyle w:val="TOC2"/>
            <w:tabs>
              <w:tab w:val="left" w:pos="1440"/>
            </w:tabs>
            <w:rPr>
              <w:rFonts w:asciiTheme="minorHAnsi" w:hAnsiTheme="minorHAnsi" w:eastAsiaTheme="minorEastAsia"/>
              <w:noProof/>
              <w:sz w:val="24"/>
              <w:szCs w:val="24"/>
            </w:rPr>
          </w:pPr>
          <w:hyperlink w:history="1" w:anchor="_Toc214644773">
            <w:r w:rsidRPr="009B2599">
              <w:rPr>
                <w:rStyle w:val="Hyperlink"/>
                <w:rFonts w:cs="Arial"/>
                <w:caps/>
                <w:noProof/>
                <w:specVanish/>
              </w:rPr>
              <w:t>5.8</w:t>
            </w:r>
            <w:r>
              <w:rPr>
                <w:rFonts w:asciiTheme="minorHAnsi" w:hAnsiTheme="minorHAnsi" w:eastAsiaTheme="minorEastAsia"/>
                <w:noProof/>
                <w:sz w:val="24"/>
                <w:szCs w:val="24"/>
              </w:rPr>
              <w:tab/>
            </w:r>
            <w:r w:rsidRPr="009B2599">
              <w:rPr>
                <w:rStyle w:val="Hyperlink"/>
                <w:rFonts w:cs="Arial"/>
                <w:noProof/>
              </w:rPr>
              <w:t>Exclusivity.</w:t>
            </w:r>
            <w:r>
              <w:rPr>
                <w:noProof/>
                <w:webHidden/>
              </w:rPr>
              <w:tab/>
            </w:r>
            <w:r>
              <w:rPr>
                <w:noProof/>
                <w:webHidden/>
              </w:rPr>
              <w:fldChar w:fldCharType="begin"/>
            </w:r>
            <w:r>
              <w:rPr>
                <w:noProof/>
                <w:webHidden/>
              </w:rPr>
              <w:instrText xml:space="preserve"> PAGEREF _Toc214644773 \h </w:instrText>
            </w:r>
            <w:r>
              <w:rPr>
                <w:noProof/>
                <w:webHidden/>
              </w:rPr>
            </w:r>
            <w:r>
              <w:rPr>
                <w:noProof/>
                <w:webHidden/>
              </w:rPr>
              <w:fldChar w:fldCharType="separate"/>
            </w:r>
            <w:r>
              <w:rPr>
                <w:noProof/>
                <w:webHidden/>
              </w:rPr>
              <w:t>39</w:t>
            </w:r>
            <w:r>
              <w:rPr>
                <w:noProof/>
                <w:webHidden/>
              </w:rPr>
              <w:fldChar w:fldCharType="end"/>
            </w:r>
          </w:hyperlink>
        </w:p>
        <w:p w:rsidR="002B196E" w:rsidRDefault="002B196E" w14:paraId="48791953" w14:textId="70800407">
          <w:pPr>
            <w:pStyle w:val="TOC2"/>
            <w:tabs>
              <w:tab w:val="left" w:pos="1440"/>
            </w:tabs>
            <w:rPr>
              <w:rFonts w:asciiTheme="minorHAnsi" w:hAnsiTheme="minorHAnsi" w:eastAsiaTheme="minorEastAsia"/>
              <w:noProof/>
              <w:sz w:val="24"/>
              <w:szCs w:val="24"/>
            </w:rPr>
          </w:pPr>
          <w:hyperlink w:history="1" w:anchor="_Toc214644774">
            <w:r w:rsidRPr="009B2599">
              <w:rPr>
                <w:rStyle w:val="Hyperlink"/>
                <w:rFonts w:cs="Arial"/>
                <w:caps/>
                <w:noProof/>
              </w:rPr>
              <w:t>5.9</w:t>
            </w:r>
            <w:r>
              <w:rPr>
                <w:rFonts w:asciiTheme="minorHAnsi" w:hAnsiTheme="minorHAnsi" w:eastAsiaTheme="minorEastAsia"/>
                <w:noProof/>
                <w:sz w:val="24"/>
                <w:szCs w:val="24"/>
              </w:rPr>
              <w:tab/>
            </w:r>
            <w:r w:rsidRPr="009B2599">
              <w:rPr>
                <w:rStyle w:val="Hyperlink"/>
                <w:rFonts w:cs="Arial"/>
                <w:noProof/>
              </w:rPr>
              <w:t>Required Seller Payments.</w:t>
            </w:r>
            <w:r>
              <w:rPr>
                <w:noProof/>
                <w:webHidden/>
              </w:rPr>
              <w:tab/>
            </w:r>
            <w:r>
              <w:rPr>
                <w:noProof/>
                <w:webHidden/>
              </w:rPr>
              <w:fldChar w:fldCharType="begin"/>
            </w:r>
            <w:r>
              <w:rPr>
                <w:noProof/>
                <w:webHidden/>
              </w:rPr>
              <w:instrText xml:space="preserve"> PAGEREF _Toc214644774 \h </w:instrText>
            </w:r>
            <w:r>
              <w:rPr>
                <w:noProof/>
                <w:webHidden/>
              </w:rPr>
            </w:r>
            <w:r>
              <w:rPr>
                <w:noProof/>
                <w:webHidden/>
              </w:rPr>
              <w:fldChar w:fldCharType="separate"/>
            </w:r>
            <w:r>
              <w:rPr>
                <w:noProof/>
                <w:webHidden/>
              </w:rPr>
              <w:t>40</w:t>
            </w:r>
            <w:r>
              <w:rPr>
                <w:noProof/>
                <w:webHidden/>
              </w:rPr>
              <w:fldChar w:fldCharType="end"/>
            </w:r>
          </w:hyperlink>
        </w:p>
        <w:p w:rsidR="002B196E" w:rsidRDefault="002B196E" w14:paraId="68CD66C8" w14:textId="550AB92B">
          <w:pPr>
            <w:pStyle w:val="TOC2"/>
            <w:tabs>
              <w:tab w:val="left" w:pos="1440"/>
            </w:tabs>
            <w:rPr>
              <w:rFonts w:asciiTheme="minorHAnsi" w:hAnsiTheme="minorHAnsi" w:eastAsiaTheme="minorEastAsia"/>
              <w:noProof/>
              <w:sz w:val="24"/>
              <w:szCs w:val="24"/>
            </w:rPr>
          </w:pPr>
          <w:hyperlink w:history="1" w:anchor="_Toc214644775">
            <w:r w:rsidRPr="009B2599">
              <w:rPr>
                <w:rStyle w:val="Hyperlink"/>
                <w:rFonts w:cs="Arial"/>
                <w:caps/>
                <w:noProof/>
                <w:specVanish/>
              </w:rPr>
              <w:t>5.10</w:t>
            </w:r>
            <w:r>
              <w:rPr>
                <w:rFonts w:asciiTheme="minorHAnsi" w:hAnsiTheme="minorHAnsi" w:eastAsiaTheme="minorEastAsia"/>
                <w:noProof/>
                <w:sz w:val="24"/>
                <w:szCs w:val="24"/>
              </w:rPr>
              <w:tab/>
            </w:r>
            <w:r w:rsidRPr="009B2599">
              <w:rPr>
                <w:rStyle w:val="Hyperlink"/>
                <w:rFonts w:cs="Arial"/>
                <w:noProof/>
              </w:rPr>
              <w:t>Insurance.</w:t>
            </w:r>
            <w:r>
              <w:rPr>
                <w:noProof/>
                <w:webHidden/>
              </w:rPr>
              <w:tab/>
            </w:r>
            <w:r>
              <w:rPr>
                <w:noProof/>
                <w:webHidden/>
              </w:rPr>
              <w:fldChar w:fldCharType="begin"/>
            </w:r>
            <w:r>
              <w:rPr>
                <w:noProof/>
                <w:webHidden/>
              </w:rPr>
              <w:instrText xml:space="preserve"> PAGEREF _Toc214644775 \h </w:instrText>
            </w:r>
            <w:r>
              <w:rPr>
                <w:noProof/>
                <w:webHidden/>
              </w:rPr>
            </w:r>
            <w:r>
              <w:rPr>
                <w:noProof/>
                <w:webHidden/>
              </w:rPr>
              <w:fldChar w:fldCharType="separate"/>
            </w:r>
            <w:r>
              <w:rPr>
                <w:noProof/>
                <w:webHidden/>
              </w:rPr>
              <w:t>40</w:t>
            </w:r>
            <w:r>
              <w:rPr>
                <w:noProof/>
                <w:webHidden/>
              </w:rPr>
              <w:fldChar w:fldCharType="end"/>
            </w:r>
          </w:hyperlink>
        </w:p>
        <w:p w:rsidR="002B196E" w:rsidRDefault="002B196E" w14:paraId="2AECFA7F" w14:textId="0867DC55">
          <w:pPr>
            <w:pStyle w:val="TOC2"/>
            <w:tabs>
              <w:tab w:val="left" w:pos="1440"/>
            </w:tabs>
            <w:rPr>
              <w:rFonts w:asciiTheme="minorHAnsi" w:hAnsiTheme="minorHAnsi" w:eastAsiaTheme="minorEastAsia"/>
              <w:noProof/>
              <w:sz w:val="24"/>
              <w:szCs w:val="24"/>
            </w:rPr>
          </w:pPr>
          <w:hyperlink w:history="1" w:anchor="_Toc214644776">
            <w:r w:rsidRPr="009B2599">
              <w:rPr>
                <w:rStyle w:val="Hyperlink"/>
                <w:rFonts w:cs="Arial"/>
                <w:caps/>
                <w:noProof/>
                <w:specVanish/>
              </w:rPr>
              <w:t>5.11</w:t>
            </w:r>
            <w:r>
              <w:rPr>
                <w:rFonts w:asciiTheme="minorHAnsi" w:hAnsiTheme="minorHAnsi" w:eastAsiaTheme="minorEastAsia"/>
                <w:noProof/>
                <w:sz w:val="24"/>
                <w:szCs w:val="24"/>
              </w:rPr>
              <w:tab/>
            </w:r>
            <w:r w:rsidRPr="009B2599">
              <w:rPr>
                <w:rStyle w:val="Hyperlink"/>
                <w:rFonts w:cs="Arial"/>
                <w:noProof/>
              </w:rPr>
              <w:t>No Encroachments.</w:t>
            </w:r>
            <w:r>
              <w:rPr>
                <w:noProof/>
                <w:webHidden/>
              </w:rPr>
              <w:tab/>
            </w:r>
            <w:r>
              <w:rPr>
                <w:noProof/>
                <w:webHidden/>
              </w:rPr>
              <w:fldChar w:fldCharType="begin"/>
            </w:r>
            <w:r>
              <w:rPr>
                <w:noProof/>
                <w:webHidden/>
              </w:rPr>
              <w:instrText xml:space="preserve"> PAGEREF _Toc214644776 \h </w:instrText>
            </w:r>
            <w:r>
              <w:rPr>
                <w:noProof/>
                <w:webHidden/>
              </w:rPr>
            </w:r>
            <w:r>
              <w:rPr>
                <w:noProof/>
                <w:webHidden/>
              </w:rPr>
              <w:fldChar w:fldCharType="separate"/>
            </w:r>
            <w:r>
              <w:rPr>
                <w:noProof/>
                <w:webHidden/>
              </w:rPr>
              <w:t>40</w:t>
            </w:r>
            <w:r>
              <w:rPr>
                <w:noProof/>
                <w:webHidden/>
              </w:rPr>
              <w:fldChar w:fldCharType="end"/>
            </w:r>
          </w:hyperlink>
        </w:p>
        <w:p w:rsidR="002B196E" w:rsidRDefault="002B196E" w14:paraId="6052ACEE" w14:textId="246BA6AE">
          <w:pPr>
            <w:pStyle w:val="TOC2"/>
            <w:tabs>
              <w:tab w:val="left" w:pos="1440"/>
            </w:tabs>
            <w:rPr>
              <w:rFonts w:asciiTheme="minorHAnsi" w:hAnsiTheme="minorHAnsi" w:eastAsiaTheme="minorEastAsia"/>
              <w:noProof/>
              <w:sz w:val="24"/>
              <w:szCs w:val="24"/>
            </w:rPr>
          </w:pPr>
          <w:hyperlink w:history="1" w:anchor="_Toc214644777">
            <w:r w:rsidRPr="009B2599">
              <w:rPr>
                <w:rStyle w:val="Hyperlink"/>
                <w:rFonts w:cs="Arial"/>
                <w:caps/>
                <w:noProof/>
                <w:specVanish/>
              </w:rPr>
              <w:t>5.12</w:t>
            </w:r>
            <w:r>
              <w:rPr>
                <w:rFonts w:asciiTheme="minorHAnsi" w:hAnsiTheme="minorHAnsi" w:eastAsiaTheme="minorEastAsia"/>
                <w:noProof/>
                <w:sz w:val="24"/>
                <w:szCs w:val="24"/>
              </w:rPr>
              <w:tab/>
            </w:r>
            <w:r w:rsidRPr="009B2599">
              <w:rPr>
                <w:rStyle w:val="Hyperlink"/>
                <w:rFonts w:cs="Arial"/>
                <w:noProof/>
              </w:rPr>
              <w:t>Estoppel Letters.</w:t>
            </w:r>
            <w:r>
              <w:rPr>
                <w:noProof/>
                <w:webHidden/>
              </w:rPr>
              <w:tab/>
            </w:r>
            <w:r>
              <w:rPr>
                <w:noProof/>
                <w:webHidden/>
              </w:rPr>
              <w:fldChar w:fldCharType="begin"/>
            </w:r>
            <w:r>
              <w:rPr>
                <w:noProof/>
                <w:webHidden/>
              </w:rPr>
              <w:instrText xml:space="preserve"> PAGEREF _Toc214644777 \h </w:instrText>
            </w:r>
            <w:r>
              <w:rPr>
                <w:noProof/>
                <w:webHidden/>
              </w:rPr>
            </w:r>
            <w:r>
              <w:rPr>
                <w:noProof/>
                <w:webHidden/>
              </w:rPr>
              <w:fldChar w:fldCharType="separate"/>
            </w:r>
            <w:r>
              <w:rPr>
                <w:noProof/>
                <w:webHidden/>
              </w:rPr>
              <w:t>40</w:t>
            </w:r>
            <w:r>
              <w:rPr>
                <w:noProof/>
                <w:webHidden/>
              </w:rPr>
              <w:fldChar w:fldCharType="end"/>
            </w:r>
          </w:hyperlink>
        </w:p>
        <w:p w:rsidR="002B196E" w:rsidRDefault="002B196E" w14:paraId="5EC11BA6" w14:textId="2B0CB80D">
          <w:pPr>
            <w:pStyle w:val="TOC2"/>
            <w:tabs>
              <w:tab w:val="left" w:pos="1440"/>
            </w:tabs>
            <w:rPr>
              <w:rFonts w:asciiTheme="minorHAnsi" w:hAnsiTheme="minorHAnsi" w:eastAsiaTheme="minorEastAsia"/>
              <w:noProof/>
              <w:sz w:val="24"/>
              <w:szCs w:val="24"/>
            </w:rPr>
          </w:pPr>
          <w:hyperlink w:history="1" w:anchor="_Toc214644778">
            <w:r w:rsidRPr="009B2599">
              <w:rPr>
                <w:rStyle w:val="Hyperlink"/>
                <w:rFonts w:cs="Arial"/>
                <w:caps/>
                <w:noProof/>
              </w:rPr>
              <w:t>5.13</w:t>
            </w:r>
            <w:r>
              <w:rPr>
                <w:rFonts w:asciiTheme="minorHAnsi" w:hAnsiTheme="minorHAnsi" w:eastAsiaTheme="minorEastAsia"/>
                <w:noProof/>
                <w:sz w:val="24"/>
                <w:szCs w:val="24"/>
              </w:rPr>
              <w:tab/>
            </w:r>
            <w:r w:rsidRPr="009B2599">
              <w:rPr>
                <w:rStyle w:val="Hyperlink"/>
                <w:rFonts w:cs="Arial"/>
                <w:noProof/>
              </w:rPr>
              <w:t>Transfer of Facility Contracts and Facility Permits.</w:t>
            </w:r>
            <w:r>
              <w:rPr>
                <w:noProof/>
                <w:webHidden/>
              </w:rPr>
              <w:tab/>
            </w:r>
            <w:r>
              <w:rPr>
                <w:noProof/>
                <w:webHidden/>
              </w:rPr>
              <w:fldChar w:fldCharType="begin"/>
            </w:r>
            <w:r>
              <w:rPr>
                <w:noProof/>
                <w:webHidden/>
              </w:rPr>
              <w:instrText xml:space="preserve"> PAGEREF _Toc214644778 \h </w:instrText>
            </w:r>
            <w:r>
              <w:rPr>
                <w:noProof/>
                <w:webHidden/>
              </w:rPr>
            </w:r>
            <w:r>
              <w:rPr>
                <w:noProof/>
                <w:webHidden/>
              </w:rPr>
              <w:fldChar w:fldCharType="separate"/>
            </w:r>
            <w:r>
              <w:rPr>
                <w:noProof/>
                <w:webHidden/>
              </w:rPr>
              <w:t>40</w:t>
            </w:r>
            <w:r>
              <w:rPr>
                <w:noProof/>
                <w:webHidden/>
              </w:rPr>
              <w:fldChar w:fldCharType="end"/>
            </w:r>
          </w:hyperlink>
        </w:p>
        <w:p w:rsidR="002B196E" w:rsidRDefault="002B196E" w14:paraId="314E8C71" w14:textId="19CA438F">
          <w:pPr>
            <w:pStyle w:val="TOC2"/>
            <w:tabs>
              <w:tab w:val="left" w:pos="1440"/>
            </w:tabs>
            <w:rPr>
              <w:rFonts w:asciiTheme="minorHAnsi" w:hAnsiTheme="minorHAnsi" w:eastAsiaTheme="minorEastAsia"/>
              <w:noProof/>
              <w:sz w:val="24"/>
              <w:szCs w:val="24"/>
            </w:rPr>
          </w:pPr>
          <w:hyperlink w:history="1" w:anchor="_Toc214644779">
            <w:r w:rsidRPr="009B2599">
              <w:rPr>
                <w:rStyle w:val="Hyperlink"/>
                <w:rFonts w:cs="Arial"/>
                <w:caps/>
                <w:noProof/>
              </w:rPr>
              <w:t>5.14</w:t>
            </w:r>
            <w:r>
              <w:rPr>
                <w:rFonts w:asciiTheme="minorHAnsi" w:hAnsiTheme="minorHAnsi" w:eastAsiaTheme="minorEastAsia"/>
                <w:noProof/>
                <w:sz w:val="24"/>
                <w:szCs w:val="24"/>
              </w:rPr>
              <w:tab/>
            </w:r>
            <w:r w:rsidRPr="009B2599">
              <w:rPr>
                <w:rStyle w:val="Hyperlink"/>
                <w:rFonts w:cs="Arial"/>
                <w:noProof/>
              </w:rPr>
              <w:t>Appraisal, Title Report, Survey, Title Insurance Commitment, &amp; Title Insurance Policy Matters.</w:t>
            </w:r>
            <w:r>
              <w:rPr>
                <w:noProof/>
                <w:webHidden/>
              </w:rPr>
              <w:tab/>
            </w:r>
            <w:r>
              <w:rPr>
                <w:noProof/>
                <w:webHidden/>
              </w:rPr>
              <w:fldChar w:fldCharType="begin"/>
            </w:r>
            <w:r>
              <w:rPr>
                <w:noProof/>
                <w:webHidden/>
              </w:rPr>
              <w:instrText xml:space="preserve"> PAGEREF _Toc214644779 \h </w:instrText>
            </w:r>
            <w:r>
              <w:rPr>
                <w:noProof/>
                <w:webHidden/>
              </w:rPr>
            </w:r>
            <w:r>
              <w:rPr>
                <w:noProof/>
                <w:webHidden/>
              </w:rPr>
              <w:fldChar w:fldCharType="separate"/>
            </w:r>
            <w:r>
              <w:rPr>
                <w:noProof/>
                <w:webHidden/>
              </w:rPr>
              <w:t>41</w:t>
            </w:r>
            <w:r>
              <w:rPr>
                <w:noProof/>
                <w:webHidden/>
              </w:rPr>
              <w:fldChar w:fldCharType="end"/>
            </w:r>
          </w:hyperlink>
        </w:p>
        <w:p w:rsidR="002B196E" w:rsidRDefault="002B196E" w14:paraId="2D6E9C6D" w14:textId="1752C369">
          <w:pPr>
            <w:pStyle w:val="TOC2"/>
            <w:tabs>
              <w:tab w:val="left" w:pos="1440"/>
            </w:tabs>
            <w:rPr>
              <w:rFonts w:asciiTheme="minorHAnsi" w:hAnsiTheme="minorHAnsi" w:eastAsiaTheme="minorEastAsia"/>
              <w:noProof/>
              <w:sz w:val="24"/>
              <w:szCs w:val="24"/>
            </w:rPr>
          </w:pPr>
          <w:hyperlink w:history="1" w:anchor="_Toc214644780">
            <w:r w:rsidRPr="009B2599">
              <w:rPr>
                <w:rStyle w:val="Hyperlink"/>
                <w:rFonts w:cs="Arial"/>
                <w:caps/>
                <w:noProof/>
                <w:specVanish/>
              </w:rPr>
              <w:t>5.15</w:t>
            </w:r>
            <w:r>
              <w:rPr>
                <w:rFonts w:asciiTheme="minorHAnsi" w:hAnsiTheme="minorHAnsi" w:eastAsiaTheme="minorEastAsia"/>
                <w:noProof/>
                <w:sz w:val="24"/>
                <w:szCs w:val="24"/>
              </w:rPr>
              <w:tab/>
            </w:r>
            <w:r w:rsidRPr="009B2599">
              <w:rPr>
                <w:rStyle w:val="Hyperlink"/>
                <w:rFonts w:cs="Arial"/>
                <w:noProof/>
              </w:rPr>
              <w:t>Performance Security.</w:t>
            </w:r>
            <w:r>
              <w:rPr>
                <w:noProof/>
                <w:webHidden/>
              </w:rPr>
              <w:tab/>
            </w:r>
            <w:r>
              <w:rPr>
                <w:noProof/>
                <w:webHidden/>
              </w:rPr>
              <w:fldChar w:fldCharType="begin"/>
            </w:r>
            <w:r>
              <w:rPr>
                <w:noProof/>
                <w:webHidden/>
              </w:rPr>
              <w:instrText xml:space="preserve"> PAGEREF _Toc214644780 \h </w:instrText>
            </w:r>
            <w:r>
              <w:rPr>
                <w:noProof/>
                <w:webHidden/>
              </w:rPr>
            </w:r>
            <w:r>
              <w:rPr>
                <w:noProof/>
                <w:webHidden/>
              </w:rPr>
              <w:fldChar w:fldCharType="separate"/>
            </w:r>
            <w:r>
              <w:rPr>
                <w:noProof/>
                <w:webHidden/>
              </w:rPr>
              <w:t>41</w:t>
            </w:r>
            <w:r>
              <w:rPr>
                <w:noProof/>
                <w:webHidden/>
              </w:rPr>
              <w:fldChar w:fldCharType="end"/>
            </w:r>
          </w:hyperlink>
        </w:p>
        <w:p w:rsidR="002B196E" w:rsidRDefault="002B196E" w14:paraId="0773BF1E" w14:textId="165D76FC">
          <w:pPr>
            <w:pStyle w:val="TOC2"/>
            <w:tabs>
              <w:tab w:val="left" w:pos="1440"/>
            </w:tabs>
            <w:rPr>
              <w:rFonts w:asciiTheme="minorHAnsi" w:hAnsiTheme="minorHAnsi" w:eastAsiaTheme="minorEastAsia"/>
              <w:noProof/>
              <w:sz w:val="24"/>
              <w:szCs w:val="24"/>
            </w:rPr>
          </w:pPr>
          <w:hyperlink w:history="1" w:anchor="_Toc214644781">
            <w:r w:rsidRPr="009B2599">
              <w:rPr>
                <w:rStyle w:val="Hyperlink"/>
                <w:rFonts w:cs="Arial"/>
                <w:caps/>
                <w:noProof/>
                <w:specVanish/>
              </w:rPr>
              <w:t>5.16</w:t>
            </w:r>
            <w:r>
              <w:rPr>
                <w:rFonts w:asciiTheme="minorHAnsi" w:hAnsiTheme="minorHAnsi" w:eastAsiaTheme="minorEastAsia"/>
                <w:noProof/>
                <w:sz w:val="24"/>
                <w:szCs w:val="24"/>
              </w:rPr>
              <w:tab/>
            </w:r>
            <w:r w:rsidRPr="009B2599">
              <w:rPr>
                <w:rStyle w:val="Hyperlink"/>
                <w:rFonts w:cs="Arial"/>
                <w:noProof/>
              </w:rPr>
              <w:t>Performance Test.</w:t>
            </w:r>
            <w:r>
              <w:rPr>
                <w:noProof/>
                <w:webHidden/>
              </w:rPr>
              <w:tab/>
            </w:r>
            <w:r>
              <w:rPr>
                <w:noProof/>
                <w:webHidden/>
              </w:rPr>
              <w:fldChar w:fldCharType="begin"/>
            </w:r>
            <w:r>
              <w:rPr>
                <w:noProof/>
                <w:webHidden/>
              </w:rPr>
              <w:instrText xml:space="preserve"> PAGEREF _Toc214644781 \h </w:instrText>
            </w:r>
            <w:r>
              <w:rPr>
                <w:noProof/>
                <w:webHidden/>
              </w:rPr>
            </w:r>
            <w:r>
              <w:rPr>
                <w:noProof/>
                <w:webHidden/>
              </w:rPr>
              <w:fldChar w:fldCharType="separate"/>
            </w:r>
            <w:r>
              <w:rPr>
                <w:noProof/>
                <w:webHidden/>
              </w:rPr>
              <w:t>42</w:t>
            </w:r>
            <w:r>
              <w:rPr>
                <w:noProof/>
                <w:webHidden/>
              </w:rPr>
              <w:fldChar w:fldCharType="end"/>
            </w:r>
          </w:hyperlink>
        </w:p>
        <w:p w:rsidR="002B196E" w:rsidRDefault="002B196E" w14:paraId="7E779A3E" w14:textId="1597C151">
          <w:pPr>
            <w:pStyle w:val="TOC2"/>
            <w:tabs>
              <w:tab w:val="left" w:pos="1440"/>
            </w:tabs>
            <w:rPr>
              <w:rFonts w:asciiTheme="minorHAnsi" w:hAnsiTheme="minorHAnsi" w:eastAsiaTheme="minorEastAsia"/>
              <w:noProof/>
              <w:sz w:val="24"/>
              <w:szCs w:val="24"/>
            </w:rPr>
          </w:pPr>
          <w:hyperlink w:history="1" w:anchor="_Toc214644782">
            <w:r w:rsidRPr="009B2599">
              <w:rPr>
                <w:rStyle w:val="Hyperlink"/>
                <w:caps/>
                <w:noProof/>
                <w:specVanish/>
              </w:rPr>
              <w:t>5.17</w:t>
            </w:r>
            <w:r>
              <w:rPr>
                <w:rFonts w:asciiTheme="minorHAnsi" w:hAnsiTheme="minorHAnsi" w:eastAsiaTheme="minorEastAsia"/>
                <w:noProof/>
                <w:sz w:val="24"/>
                <w:szCs w:val="24"/>
              </w:rPr>
              <w:tab/>
            </w:r>
            <w:r w:rsidRPr="009B2599">
              <w:rPr>
                <w:rStyle w:val="Hyperlink"/>
                <w:noProof/>
              </w:rPr>
              <w:t>Casualty Loss.</w:t>
            </w:r>
            <w:r>
              <w:rPr>
                <w:noProof/>
                <w:webHidden/>
              </w:rPr>
              <w:tab/>
            </w:r>
            <w:r>
              <w:rPr>
                <w:noProof/>
                <w:webHidden/>
              </w:rPr>
              <w:fldChar w:fldCharType="begin"/>
            </w:r>
            <w:r>
              <w:rPr>
                <w:noProof/>
                <w:webHidden/>
              </w:rPr>
              <w:instrText xml:space="preserve"> PAGEREF _Toc214644782 \h </w:instrText>
            </w:r>
            <w:r>
              <w:rPr>
                <w:noProof/>
                <w:webHidden/>
              </w:rPr>
            </w:r>
            <w:r>
              <w:rPr>
                <w:noProof/>
                <w:webHidden/>
              </w:rPr>
              <w:fldChar w:fldCharType="separate"/>
            </w:r>
            <w:r>
              <w:rPr>
                <w:noProof/>
                <w:webHidden/>
              </w:rPr>
              <w:t>42</w:t>
            </w:r>
            <w:r>
              <w:rPr>
                <w:noProof/>
                <w:webHidden/>
              </w:rPr>
              <w:fldChar w:fldCharType="end"/>
            </w:r>
          </w:hyperlink>
        </w:p>
        <w:p w:rsidR="002B196E" w:rsidRDefault="002B196E" w14:paraId="4D652D24" w14:textId="2220999F">
          <w:pPr>
            <w:pStyle w:val="TOC2"/>
            <w:tabs>
              <w:tab w:val="left" w:pos="1440"/>
            </w:tabs>
            <w:rPr>
              <w:rFonts w:asciiTheme="minorHAnsi" w:hAnsiTheme="minorHAnsi" w:eastAsiaTheme="minorEastAsia"/>
              <w:noProof/>
              <w:sz w:val="24"/>
              <w:szCs w:val="24"/>
            </w:rPr>
          </w:pPr>
          <w:hyperlink w:history="1" w:anchor="_Toc214644783">
            <w:r w:rsidRPr="009B2599">
              <w:rPr>
                <w:rStyle w:val="Hyperlink"/>
                <w:caps/>
                <w:noProof/>
              </w:rPr>
              <w:t>5.18</w:t>
            </w:r>
            <w:r>
              <w:rPr>
                <w:rFonts w:asciiTheme="minorHAnsi" w:hAnsiTheme="minorHAnsi" w:eastAsiaTheme="minorEastAsia"/>
                <w:noProof/>
                <w:sz w:val="24"/>
                <w:szCs w:val="24"/>
              </w:rPr>
              <w:tab/>
            </w:r>
            <w:r w:rsidRPr="009B2599">
              <w:rPr>
                <w:rStyle w:val="Hyperlink"/>
                <w:noProof/>
              </w:rPr>
              <w:t>Update of Seller Disclosure Schedule.</w:t>
            </w:r>
            <w:r>
              <w:rPr>
                <w:noProof/>
                <w:webHidden/>
              </w:rPr>
              <w:tab/>
            </w:r>
            <w:r>
              <w:rPr>
                <w:noProof/>
                <w:webHidden/>
              </w:rPr>
              <w:fldChar w:fldCharType="begin"/>
            </w:r>
            <w:r>
              <w:rPr>
                <w:noProof/>
                <w:webHidden/>
              </w:rPr>
              <w:instrText xml:space="preserve"> PAGEREF _Toc214644783 \h </w:instrText>
            </w:r>
            <w:r>
              <w:rPr>
                <w:noProof/>
                <w:webHidden/>
              </w:rPr>
            </w:r>
            <w:r>
              <w:rPr>
                <w:noProof/>
                <w:webHidden/>
              </w:rPr>
              <w:fldChar w:fldCharType="separate"/>
            </w:r>
            <w:r>
              <w:rPr>
                <w:noProof/>
                <w:webHidden/>
              </w:rPr>
              <w:t>42</w:t>
            </w:r>
            <w:r>
              <w:rPr>
                <w:noProof/>
                <w:webHidden/>
              </w:rPr>
              <w:fldChar w:fldCharType="end"/>
            </w:r>
          </w:hyperlink>
        </w:p>
        <w:p w:rsidR="002B196E" w:rsidRDefault="002B196E" w14:paraId="3D819838" w14:textId="6C4A6445">
          <w:pPr>
            <w:pStyle w:val="TOC2"/>
            <w:tabs>
              <w:tab w:val="left" w:pos="1440"/>
            </w:tabs>
            <w:rPr>
              <w:rFonts w:asciiTheme="minorHAnsi" w:hAnsiTheme="minorHAnsi" w:eastAsiaTheme="minorEastAsia"/>
              <w:noProof/>
              <w:sz w:val="24"/>
              <w:szCs w:val="24"/>
            </w:rPr>
          </w:pPr>
          <w:hyperlink w:history="1" w:anchor="_Toc214644784">
            <w:r w:rsidRPr="009B2599">
              <w:rPr>
                <w:rStyle w:val="Hyperlink"/>
                <w:caps/>
                <w:noProof/>
                <w:specVanish/>
              </w:rPr>
              <w:t>5.19</w:t>
            </w:r>
            <w:r>
              <w:rPr>
                <w:rFonts w:asciiTheme="minorHAnsi" w:hAnsiTheme="minorHAnsi" w:eastAsiaTheme="minorEastAsia"/>
                <w:noProof/>
                <w:sz w:val="24"/>
                <w:szCs w:val="24"/>
              </w:rPr>
              <w:tab/>
            </w:r>
            <w:r w:rsidRPr="009B2599">
              <w:rPr>
                <w:rStyle w:val="Hyperlink"/>
                <w:noProof/>
              </w:rPr>
              <w:t>Transfer of Facility to GPC Following Closing.</w:t>
            </w:r>
            <w:r>
              <w:rPr>
                <w:noProof/>
                <w:webHidden/>
              </w:rPr>
              <w:tab/>
            </w:r>
            <w:r>
              <w:rPr>
                <w:noProof/>
                <w:webHidden/>
              </w:rPr>
              <w:fldChar w:fldCharType="begin"/>
            </w:r>
            <w:r>
              <w:rPr>
                <w:noProof/>
                <w:webHidden/>
              </w:rPr>
              <w:instrText xml:space="preserve"> PAGEREF _Toc214644784 \h </w:instrText>
            </w:r>
            <w:r>
              <w:rPr>
                <w:noProof/>
                <w:webHidden/>
              </w:rPr>
            </w:r>
            <w:r>
              <w:rPr>
                <w:noProof/>
                <w:webHidden/>
              </w:rPr>
              <w:fldChar w:fldCharType="separate"/>
            </w:r>
            <w:r>
              <w:rPr>
                <w:noProof/>
                <w:webHidden/>
              </w:rPr>
              <w:t>43</w:t>
            </w:r>
            <w:r>
              <w:rPr>
                <w:noProof/>
                <w:webHidden/>
              </w:rPr>
              <w:fldChar w:fldCharType="end"/>
            </w:r>
          </w:hyperlink>
        </w:p>
        <w:p w:rsidR="002B196E" w:rsidRDefault="002B196E" w14:paraId="2FB96387" w14:textId="76E39161">
          <w:pPr>
            <w:pStyle w:val="TOC2"/>
            <w:tabs>
              <w:tab w:val="left" w:pos="1440"/>
            </w:tabs>
            <w:rPr>
              <w:rFonts w:asciiTheme="minorHAnsi" w:hAnsiTheme="minorHAnsi" w:eastAsiaTheme="minorEastAsia"/>
              <w:noProof/>
              <w:sz w:val="24"/>
              <w:szCs w:val="24"/>
            </w:rPr>
          </w:pPr>
          <w:hyperlink w:history="1" w:anchor="_Toc214644785">
            <w:r w:rsidRPr="009B2599">
              <w:rPr>
                <w:rStyle w:val="Hyperlink"/>
                <w:caps/>
                <w:noProof/>
              </w:rPr>
              <w:t>5.20</w:t>
            </w:r>
            <w:r>
              <w:rPr>
                <w:rFonts w:asciiTheme="minorHAnsi" w:hAnsiTheme="minorHAnsi" w:eastAsiaTheme="minorEastAsia"/>
                <w:noProof/>
                <w:sz w:val="24"/>
                <w:szCs w:val="24"/>
              </w:rPr>
              <w:tab/>
            </w:r>
            <w:r w:rsidRPr="009B2599">
              <w:rPr>
                <w:rStyle w:val="Hyperlink"/>
                <w:noProof/>
              </w:rPr>
              <w:t>Employment Matters.</w:t>
            </w:r>
            <w:r>
              <w:rPr>
                <w:noProof/>
                <w:webHidden/>
              </w:rPr>
              <w:tab/>
            </w:r>
            <w:r>
              <w:rPr>
                <w:noProof/>
                <w:webHidden/>
              </w:rPr>
              <w:fldChar w:fldCharType="begin"/>
            </w:r>
            <w:r>
              <w:rPr>
                <w:noProof/>
                <w:webHidden/>
              </w:rPr>
              <w:instrText xml:space="preserve"> PAGEREF _Toc214644785 \h </w:instrText>
            </w:r>
            <w:r>
              <w:rPr>
                <w:noProof/>
                <w:webHidden/>
              </w:rPr>
            </w:r>
            <w:r>
              <w:rPr>
                <w:noProof/>
                <w:webHidden/>
              </w:rPr>
              <w:fldChar w:fldCharType="separate"/>
            </w:r>
            <w:r>
              <w:rPr>
                <w:noProof/>
                <w:webHidden/>
              </w:rPr>
              <w:t>43</w:t>
            </w:r>
            <w:r>
              <w:rPr>
                <w:noProof/>
                <w:webHidden/>
              </w:rPr>
              <w:fldChar w:fldCharType="end"/>
            </w:r>
          </w:hyperlink>
        </w:p>
        <w:p w:rsidR="002B196E" w:rsidRDefault="002B196E" w14:paraId="762BFAF2" w14:textId="14E096C8">
          <w:pPr>
            <w:pStyle w:val="TOC1"/>
            <w:rPr>
              <w:rFonts w:asciiTheme="minorHAnsi" w:hAnsiTheme="minorHAnsi" w:eastAsiaTheme="minorEastAsia"/>
              <w:b w:val="0"/>
              <w:caps w:val="0"/>
              <w:noProof/>
              <w:sz w:val="24"/>
              <w:szCs w:val="24"/>
            </w:rPr>
          </w:pPr>
          <w:hyperlink w:history="1" w:anchor="_Toc214644786">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6.</w:t>
            </w:r>
            <w:r>
              <w:rPr>
                <w:rFonts w:asciiTheme="minorHAnsi" w:hAnsiTheme="minorHAnsi" w:eastAsiaTheme="minorEastAsia"/>
                <w:b w:val="0"/>
                <w:caps w:val="0"/>
                <w:noProof/>
                <w:sz w:val="24"/>
                <w:szCs w:val="24"/>
              </w:rPr>
              <w:tab/>
            </w:r>
            <w:r w:rsidRPr="009B2599">
              <w:rPr>
                <w:rStyle w:val="Hyperlink"/>
                <w:noProof/>
              </w:rPr>
              <w:t>Conditions Precedent</w:t>
            </w:r>
            <w:r>
              <w:rPr>
                <w:noProof/>
                <w:webHidden/>
              </w:rPr>
              <w:tab/>
            </w:r>
            <w:r>
              <w:rPr>
                <w:noProof/>
                <w:webHidden/>
              </w:rPr>
              <w:fldChar w:fldCharType="begin"/>
            </w:r>
            <w:r>
              <w:rPr>
                <w:noProof/>
                <w:webHidden/>
              </w:rPr>
              <w:instrText xml:space="preserve"> PAGEREF _Toc214644786 \h </w:instrText>
            </w:r>
            <w:r>
              <w:rPr>
                <w:noProof/>
                <w:webHidden/>
              </w:rPr>
            </w:r>
            <w:r>
              <w:rPr>
                <w:noProof/>
                <w:webHidden/>
              </w:rPr>
              <w:fldChar w:fldCharType="separate"/>
            </w:r>
            <w:r>
              <w:rPr>
                <w:noProof/>
                <w:webHidden/>
              </w:rPr>
              <w:t>45</w:t>
            </w:r>
            <w:r>
              <w:rPr>
                <w:noProof/>
                <w:webHidden/>
              </w:rPr>
              <w:fldChar w:fldCharType="end"/>
            </w:r>
          </w:hyperlink>
        </w:p>
        <w:p w:rsidR="002B196E" w:rsidRDefault="002B196E" w14:paraId="10470C01" w14:textId="6F1C6A44">
          <w:pPr>
            <w:pStyle w:val="TOC2"/>
            <w:tabs>
              <w:tab w:val="left" w:pos="1440"/>
            </w:tabs>
            <w:rPr>
              <w:rFonts w:asciiTheme="minorHAnsi" w:hAnsiTheme="minorHAnsi" w:eastAsiaTheme="minorEastAsia"/>
              <w:noProof/>
              <w:sz w:val="24"/>
              <w:szCs w:val="24"/>
            </w:rPr>
          </w:pPr>
          <w:hyperlink w:history="1" w:anchor="_Toc214644787">
            <w:r w:rsidRPr="009B2599">
              <w:rPr>
                <w:rStyle w:val="Hyperlink"/>
                <w:rFonts w:cs="Arial"/>
                <w:caps/>
                <w:noProof/>
                <w:specVanish/>
              </w:rPr>
              <w:t>6.1</w:t>
            </w:r>
            <w:r>
              <w:rPr>
                <w:rFonts w:asciiTheme="minorHAnsi" w:hAnsiTheme="minorHAnsi" w:eastAsiaTheme="minorEastAsia"/>
                <w:noProof/>
                <w:sz w:val="24"/>
                <w:szCs w:val="24"/>
              </w:rPr>
              <w:tab/>
            </w:r>
            <w:r w:rsidRPr="009B2599">
              <w:rPr>
                <w:rStyle w:val="Hyperlink"/>
                <w:rFonts w:cs="Arial"/>
                <w:noProof/>
              </w:rPr>
              <w:t>Conditions to Obligations of Each Party.</w:t>
            </w:r>
            <w:r>
              <w:rPr>
                <w:noProof/>
                <w:webHidden/>
              </w:rPr>
              <w:tab/>
            </w:r>
            <w:r>
              <w:rPr>
                <w:noProof/>
                <w:webHidden/>
              </w:rPr>
              <w:fldChar w:fldCharType="begin"/>
            </w:r>
            <w:r>
              <w:rPr>
                <w:noProof/>
                <w:webHidden/>
              </w:rPr>
              <w:instrText xml:space="preserve"> PAGEREF _Toc214644787 \h </w:instrText>
            </w:r>
            <w:r>
              <w:rPr>
                <w:noProof/>
                <w:webHidden/>
              </w:rPr>
            </w:r>
            <w:r>
              <w:rPr>
                <w:noProof/>
                <w:webHidden/>
              </w:rPr>
              <w:fldChar w:fldCharType="separate"/>
            </w:r>
            <w:r>
              <w:rPr>
                <w:noProof/>
                <w:webHidden/>
              </w:rPr>
              <w:t>45</w:t>
            </w:r>
            <w:r>
              <w:rPr>
                <w:noProof/>
                <w:webHidden/>
              </w:rPr>
              <w:fldChar w:fldCharType="end"/>
            </w:r>
          </w:hyperlink>
        </w:p>
        <w:p w:rsidR="002B196E" w:rsidRDefault="002B196E" w14:paraId="10A44008" w14:textId="31056356">
          <w:pPr>
            <w:pStyle w:val="TOC2"/>
            <w:tabs>
              <w:tab w:val="left" w:pos="1440"/>
            </w:tabs>
            <w:rPr>
              <w:rFonts w:asciiTheme="minorHAnsi" w:hAnsiTheme="minorHAnsi" w:eastAsiaTheme="minorEastAsia"/>
              <w:noProof/>
              <w:sz w:val="24"/>
              <w:szCs w:val="24"/>
            </w:rPr>
          </w:pPr>
          <w:hyperlink w:history="1" w:anchor="_Toc214644788">
            <w:r w:rsidRPr="009B2599">
              <w:rPr>
                <w:rStyle w:val="Hyperlink"/>
                <w:rFonts w:cs="Arial"/>
                <w:caps/>
                <w:noProof/>
                <w:specVanish/>
              </w:rPr>
              <w:t>6.2</w:t>
            </w:r>
            <w:r>
              <w:rPr>
                <w:rFonts w:asciiTheme="minorHAnsi" w:hAnsiTheme="minorHAnsi" w:eastAsiaTheme="minorEastAsia"/>
                <w:noProof/>
                <w:sz w:val="24"/>
                <w:szCs w:val="24"/>
              </w:rPr>
              <w:tab/>
            </w:r>
            <w:r w:rsidRPr="009B2599">
              <w:rPr>
                <w:rStyle w:val="Hyperlink"/>
                <w:rFonts w:cs="Arial"/>
                <w:noProof/>
              </w:rPr>
              <w:t>Conditions to Obligations of GPC.</w:t>
            </w:r>
            <w:r>
              <w:rPr>
                <w:noProof/>
                <w:webHidden/>
              </w:rPr>
              <w:tab/>
            </w:r>
            <w:r>
              <w:rPr>
                <w:noProof/>
                <w:webHidden/>
              </w:rPr>
              <w:fldChar w:fldCharType="begin"/>
            </w:r>
            <w:r>
              <w:rPr>
                <w:noProof/>
                <w:webHidden/>
              </w:rPr>
              <w:instrText xml:space="preserve"> PAGEREF _Toc214644788 \h </w:instrText>
            </w:r>
            <w:r>
              <w:rPr>
                <w:noProof/>
                <w:webHidden/>
              </w:rPr>
            </w:r>
            <w:r>
              <w:rPr>
                <w:noProof/>
                <w:webHidden/>
              </w:rPr>
              <w:fldChar w:fldCharType="separate"/>
            </w:r>
            <w:r>
              <w:rPr>
                <w:noProof/>
                <w:webHidden/>
              </w:rPr>
              <w:t>48</w:t>
            </w:r>
            <w:r>
              <w:rPr>
                <w:noProof/>
                <w:webHidden/>
              </w:rPr>
              <w:fldChar w:fldCharType="end"/>
            </w:r>
          </w:hyperlink>
        </w:p>
        <w:p w:rsidR="002B196E" w:rsidRDefault="002B196E" w14:paraId="08393931" w14:textId="19FFF8D9">
          <w:pPr>
            <w:pStyle w:val="TOC2"/>
            <w:tabs>
              <w:tab w:val="left" w:pos="1440"/>
            </w:tabs>
            <w:rPr>
              <w:rFonts w:asciiTheme="minorHAnsi" w:hAnsiTheme="minorHAnsi" w:eastAsiaTheme="minorEastAsia"/>
              <w:noProof/>
              <w:sz w:val="24"/>
              <w:szCs w:val="24"/>
            </w:rPr>
          </w:pPr>
          <w:hyperlink w:history="1" w:anchor="_Toc214644789">
            <w:r w:rsidRPr="009B2599">
              <w:rPr>
                <w:rStyle w:val="Hyperlink"/>
                <w:rFonts w:cs="Arial"/>
                <w:caps/>
                <w:noProof/>
                <w:specVanish/>
              </w:rPr>
              <w:t>6.3</w:t>
            </w:r>
            <w:r>
              <w:rPr>
                <w:rFonts w:asciiTheme="minorHAnsi" w:hAnsiTheme="minorHAnsi" w:eastAsiaTheme="minorEastAsia"/>
                <w:noProof/>
                <w:sz w:val="24"/>
                <w:szCs w:val="24"/>
              </w:rPr>
              <w:tab/>
            </w:r>
            <w:r w:rsidRPr="009B2599">
              <w:rPr>
                <w:rStyle w:val="Hyperlink"/>
                <w:rFonts w:cs="Arial"/>
                <w:noProof/>
              </w:rPr>
              <w:t>Conditions to Obligations of Seller.</w:t>
            </w:r>
            <w:r>
              <w:rPr>
                <w:noProof/>
                <w:webHidden/>
              </w:rPr>
              <w:tab/>
            </w:r>
            <w:r>
              <w:rPr>
                <w:noProof/>
                <w:webHidden/>
              </w:rPr>
              <w:fldChar w:fldCharType="begin"/>
            </w:r>
            <w:r>
              <w:rPr>
                <w:noProof/>
                <w:webHidden/>
              </w:rPr>
              <w:instrText xml:space="preserve"> PAGEREF _Toc214644789 \h </w:instrText>
            </w:r>
            <w:r>
              <w:rPr>
                <w:noProof/>
                <w:webHidden/>
              </w:rPr>
            </w:r>
            <w:r>
              <w:rPr>
                <w:noProof/>
                <w:webHidden/>
              </w:rPr>
              <w:fldChar w:fldCharType="separate"/>
            </w:r>
            <w:r>
              <w:rPr>
                <w:noProof/>
                <w:webHidden/>
              </w:rPr>
              <w:t>49</w:t>
            </w:r>
            <w:r>
              <w:rPr>
                <w:noProof/>
                <w:webHidden/>
              </w:rPr>
              <w:fldChar w:fldCharType="end"/>
            </w:r>
          </w:hyperlink>
        </w:p>
        <w:p w:rsidR="002B196E" w:rsidRDefault="002B196E" w14:paraId="1653CED1" w14:textId="1C9A1BDE">
          <w:pPr>
            <w:pStyle w:val="TOC1"/>
            <w:rPr>
              <w:rFonts w:asciiTheme="minorHAnsi" w:hAnsiTheme="minorHAnsi" w:eastAsiaTheme="minorEastAsia"/>
              <w:b w:val="0"/>
              <w:caps w:val="0"/>
              <w:noProof/>
              <w:sz w:val="24"/>
              <w:szCs w:val="24"/>
            </w:rPr>
          </w:pPr>
          <w:hyperlink w:history="1" w:anchor="_Toc214644790">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7.</w:t>
            </w:r>
            <w:r>
              <w:rPr>
                <w:rFonts w:asciiTheme="minorHAnsi" w:hAnsiTheme="minorHAnsi" w:eastAsiaTheme="minorEastAsia"/>
                <w:b w:val="0"/>
                <w:caps w:val="0"/>
                <w:noProof/>
                <w:sz w:val="24"/>
                <w:szCs w:val="24"/>
              </w:rPr>
              <w:tab/>
            </w:r>
            <w:r w:rsidRPr="009B2599">
              <w:rPr>
                <w:rStyle w:val="Hyperlink"/>
                <w:noProof/>
              </w:rPr>
              <w:t>Tax Matters</w:t>
            </w:r>
            <w:r>
              <w:rPr>
                <w:noProof/>
                <w:webHidden/>
              </w:rPr>
              <w:tab/>
            </w:r>
            <w:r>
              <w:rPr>
                <w:noProof/>
                <w:webHidden/>
              </w:rPr>
              <w:fldChar w:fldCharType="begin"/>
            </w:r>
            <w:r>
              <w:rPr>
                <w:noProof/>
                <w:webHidden/>
              </w:rPr>
              <w:instrText xml:space="preserve"> PAGEREF _Toc214644790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2831DC61" w14:textId="2CDF0FAB">
          <w:pPr>
            <w:pStyle w:val="TOC2"/>
            <w:tabs>
              <w:tab w:val="left" w:pos="1440"/>
            </w:tabs>
            <w:rPr>
              <w:rFonts w:asciiTheme="minorHAnsi" w:hAnsiTheme="minorHAnsi" w:eastAsiaTheme="minorEastAsia"/>
              <w:noProof/>
              <w:sz w:val="24"/>
              <w:szCs w:val="24"/>
            </w:rPr>
          </w:pPr>
          <w:hyperlink w:history="1" w:anchor="_Toc214644791">
            <w:r w:rsidRPr="009B2599">
              <w:rPr>
                <w:rStyle w:val="Hyperlink"/>
                <w:rFonts w:cs="Arial"/>
                <w:caps/>
                <w:noProof/>
                <w:specVanish/>
              </w:rPr>
              <w:t>7.1</w:t>
            </w:r>
            <w:r>
              <w:rPr>
                <w:rFonts w:asciiTheme="minorHAnsi" w:hAnsiTheme="minorHAnsi" w:eastAsiaTheme="minorEastAsia"/>
                <w:noProof/>
                <w:sz w:val="24"/>
                <w:szCs w:val="24"/>
              </w:rPr>
              <w:tab/>
            </w:r>
            <w:r w:rsidRPr="009B2599">
              <w:rPr>
                <w:rStyle w:val="Hyperlink"/>
                <w:rFonts w:cs="Arial"/>
                <w:noProof/>
              </w:rPr>
              <w:t>Transfer Taxes.</w:t>
            </w:r>
            <w:r>
              <w:rPr>
                <w:noProof/>
                <w:webHidden/>
              </w:rPr>
              <w:tab/>
            </w:r>
            <w:r>
              <w:rPr>
                <w:noProof/>
                <w:webHidden/>
              </w:rPr>
              <w:fldChar w:fldCharType="begin"/>
            </w:r>
            <w:r>
              <w:rPr>
                <w:noProof/>
                <w:webHidden/>
              </w:rPr>
              <w:instrText xml:space="preserve"> PAGEREF _Toc214644791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1BE02E69" w14:textId="48FB43AB">
          <w:pPr>
            <w:pStyle w:val="TOC2"/>
            <w:tabs>
              <w:tab w:val="left" w:pos="1440"/>
            </w:tabs>
            <w:rPr>
              <w:rFonts w:asciiTheme="minorHAnsi" w:hAnsiTheme="minorHAnsi" w:eastAsiaTheme="minorEastAsia"/>
              <w:noProof/>
              <w:sz w:val="24"/>
              <w:szCs w:val="24"/>
            </w:rPr>
          </w:pPr>
          <w:hyperlink w:history="1" w:anchor="_Toc214644792">
            <w:r w:rsidRPr="009B2599">
              <w:rPr>
                <w:rStyle w:val="Hyperlink"/>
                <w:rFonts w:cs="Arial"/>
                <w:caps/>
                <w:noProof/>
                <w:specVanish/>
              </w:rPr>
              <w:t>7.2</w:t>
            </w:r>
            <w:r>
              <w:rPr>
                <w:rFonts w:asciiTheme="minorHAnsi" w:hAnsiTheme="minorHAnsi" w:eastAsiaTheme="minorEastAsia"/>
                <w:noProof/>
                <w:sz w:val="24"/>
                <w:szCs w:val="24"/>
              </w:rPr>
              <w:tab/>
            </w:r>
            <w:r w:rsidRPr="009B2599">
              <w:rPr>
                <w:rStyle w:val="Hyperlink"/>
                <w:rFonts w:cs="Arial"/>
                <w:noProof/>
              </w:rPr>
              <w:t>Seller Tax Indemnity.</w:t>
            </w:r>
            <w:r>
              <w:rPr>
                <w:noProof/>
                <w:webHidden/>
              </w:rPr>
              <w:tab/>
            </w:r>
            <w:r>
              <w:rPr>
                <w:noProof/>
                <w:webHidden/>
              </w:rPr>
              <w:fldChar w:fldCharType="begin"/>
            </w:r>
            <w:r>
              <w:rPr>
                <w:noProof/>
                <w:webHidden/>
              </w:rPr>
              <w:instrText xml:space="preserve"> PAGEREF _Toc214644792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02613C54" w14:textId="7819E7F6">
          <w:pPr>
            <w:pStyle w:val="TOC2"/>
            <w:tabs>
              <w:tab w:val="left" w:pos="1440"/>
            </w:tabs>
            <w:rPr>
              <w:rFonts w:asciiTheme="minorHAnsi" w:hAnsiTheme="minorHAnsi" w:eastAsiaTheme="minorEastAsia"/>
              <w:noProof/>
              <w:sz w:val="24"/>
              <w:szCs w:val="24"/>
            </w:rPr>
          </w:pPr>
          <w:hyperlink w:history="1" w:anchor="_Toc214644793">
            <w:r w:rsidRPr="009B2599">
              <w:rPr>
                <w:rStyle w:val="Hyperlink"/>
                <w:rFonts w:cs="Arial"/>
                <w:caps/>
                <w:noProof/>
                <w:specVanish/>
              </w:rPr>
              <w:t>7.3</w:t>
            </w:r>
            <w:r>
              <w:rPr>
                <w:rFonts w:asciiTheme="minorHAnsi" w:hAnsiTheme="minorHAnsi" w:eastAsiaTheme="minorEastAsia"/>
                <w:noProof/>
                <w:sz w:val="24"/>
                <w:szCs w:val="24"/>
              </w:rPr>
              <w:tab/>
            </w:r>
            <w:r w:rsidRPr="009B2599">
              <w:rPr>
                <w:rStyle w:val="Hyperlink"/>
                <w:rFonts w:cs="Arial"/>
                <w:noProof/>
              </w:rPr>
              <w:t>Seller Tax Returns.</w:t>
            </w:r>
            <w:r>
              <w:rPr>
                <w:noProof/>
                <w:webHidden/>
              </w:rPr>
              <w:tab/>
            </w:r>
            <w:r>
              <w:rPr>
                <w:noProof/>
                <w:webHidden/>
              </w:rPr>
              <w:fldChar w:fldCharType="begin"/>
            </w:r>
            <w:r>
              <w:rPr>
                <w:noProof/>
                <w:webHidden/>
              </w:rPr>
              <w:instrText xml:space="preserve"> PAGEREF _Toc214644793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67540F3F" w14:textId="247CE26A">
          <w:pPr>
            <w:pStyle w:val="TOC2"/>
            <w:tabs>
              <w:tab w:val="left" w:pos="1440"/>
            </w:tabs>
            <w:rPr>
              <w:rFonts w:asciiTheme="minorHAnsi" w:hAnsiTheme="minorHAnsi" w:eastAsiaTheme="minorEastAsia"/>
              <w:noProof/>
              <w:sz w:val="24"/>
              <w:szCs w:val="24"/>
            </w:rPr>
          </w:pPr>
          <w:hyperlink w:history="1" w:anchor="_Toc214644794">
            <w:r w:rsidRPr="009B2599">
              <w:rPr>
                <w:rStyle w:val="Hyperlink"/>
                <w:rFonts w:cs="Arial"/>
                <w:caps/>
                <w:noProof/>
                <w:specVanish/>
              </w:rPr>
              <w:t>7.4</w:t>
            </w:r>
            <w:r>
              <w:rPr>
                <w:rFonts w:asciiTheme="minorHAnsi" w:hAnsiTheme="minorHAnsi" w:eastAsiaTheme="minorEastAsia"/>
                <w:noProof/>
                <w:sz w:val="24"/>
                <w:szCs w:val="24"/>
              </w:rPr>
              <w:tab/>
            </w:r>
            <w:r w:rsidRPr="009B2599">
              <w:rPr>
                <w:rStyle w:val="Hyperlink"/>
                <w:rFonts w:cs="Arial"/>
                <w:noProof/>
              </w:rPr>
              <w:t>Tax Contests.</w:t>
            </w:r>
            <w:r>
              <w:rPr>
                <w:noProof/>
                <w:webHidden/>
              </w:rPr>
              <w:tab/>
            </w:r>
            <w:r>
              <w:rPr>
                <w:noProof/>
                <w:webHidden/>
              </w:rPr>
              <w:fldChar w:fldCharType="begin"/>
            </w:r>
            <w:r>
              <w:rPr>
                <w:noProof/>
                <w:webHidden/>
              </w:rPr>
              <w:instrText xml:space="preserve"> PAGEREF _Toc214644794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1ED9CE97" w14:textId="2F290834">
          <w:pPr>
            <w:pStyle w:val="TOC2"/>
            <w:tabs>
              <w:tab w:val="left" w:pos="1440"/>
            </w:tabs>
            <w:rPr>
              <w:rFonts w:asciiTheme="minorHAnsi" w:hAnsiTheme="minorHAnsi" w:eastAsiaTheme="minorEastAsia"/>
              <w:noProof/>
              <w:sz w:val="24"/>
              <w:szCs w:val="24"/>
            </w:rPr>
          </w:pPr>
          <w:hyperlink w:history="1" w:anchor="_Toc214644795">
            <w:r w:rsidRPr="009B2599">
              <w:rPr>
                <w:rStyle w:val="Hyperlink"/>
                <w:rFonts w:cs="Arial"/>
                <w:caps/>
                <w:noProof/>
                <w:specVanish/>
              </w:rPr>
              <w:t>7.5</w:t>
            </w:r>
            <w:r>
              <w:rPr>
                <w:rFonts w:asciiTheme="minorHAnsi" w:hAnsiTheme="minorHAnsi" w:eastAsiaTheme="minorEastAsia"/>
                <w:noProof/>
                <w:sz w:val="24"/>
                <w:szCs w:val="24"/>
              </w:rPr>
              <w:tab/>
            </w:r>
            <w:r w:rsidRPr="009B2599">
              <w:rPr>
                <w:rStyle w:val="Hyperlink"/>
                <w:rFonts w:cs="Arial"/>
                <w:noProof/>
              </w:rPr>
              <w:t>Assistance and Cooperation.</w:t>
            </w:r>
            <w:r>
              <w:rPr>
                <w:noProof/>
                <w:webHidden/>
              </w:rPr>
              <w:tab/>
            </w:r>
            <w:r>
              <w:rPr>
                <w:noProof/>
                <w:webHidden/>
              </w:rPr>
              <w:fldChar w:fldCharType="begin"/>
            </w:r>
            <w:r>
              <w:rPr>
                <w:noProof/>
                <w:webHidden/>
              </w:rPr>
              <w:instrText xml:space="preserve"> PAGEREF _Toc214644795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24D73426" w14:textId="4B0E9FE4">
          <w:pPr>
            <w:pStyle w:val="TOC2"/>
            <w:tabs>
              <w:tab w:val="left" w:pos="1440"/>
            </w:tabs>
            <w:rPr>
              <w:rFonts w:asciiTheme="minorHAnsi" w:hAnsiTheme="minorHAnsi" w:eastAsiaTheme="minorEastAsia"/>
              <w:noProof/>
              <w:sz w:val="24"/>
              <w:szCs w:val="24"/>
            </w:rPr>
          </w:pPr>
          <w:hyperlink w:history="1" w:anchor="_Toc214644796">
            <w:r w:rsidRPr="009B2599">
              <w:rPr>
                <w:rStyle w:val="Hyperlink"/>
                <w:rFonts w:cs="Arial"/>
                <w:caps/>
                <w:noProof/>
                <w:specVanish/>
              </w:rPr>
              <w:t>7.6</w:t>
            </w:r>
            <w:r>
              <w:rPr>
                <w:rFonts w:asciiTheme="minorHAnsi" w:hAnsiTheme="minorHAnsi" w:eastAsiaTheme="minorEastAsia"/>
                <w:noProof/>
                <w:sz w:val="24"/>
                <w:szCs w:val="24"/>
              </w:rPr>
              <w:tab/>
            </w:r>
            <w:r w:rsidRPr="009B2599">
              <w:rPr>
                <w:rStyle w:val="Hyperlink"/>
                <w:rFonts w:cs="Arial"/>
                <w:noProof/>
              </w:rPr>
              <w:t>Allocation of Taxes.</w:t>
            </w:r>
            <w:r>
              <w:rPr>
                <w:noProof/>
                <w:webHidden/>
              </w:rPr>
              <w:tab/>
            </w:r>
            <w:r>
              <w:rPr>
                <w:noProof/>
                <w:webHidden/>
              </w:rPr>
              <w:fldChar w:fldCharType="begin"/>
            </w:r>
            <w:r>
              <w:rPr>
                <w:noProof/>
                <w:webHidden/>
              </w:rPr>
              <w:instrText xml:space="preserve"> PAGEREF _Toc214644796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6EF85F9B" w14:textId="51CD4FFD">
          <w:pPr>
            <w:pStyle w:val="TOC2"/>
            <w:tabs>
              <w:tab w:val="left" w:pos="1440"/>
            </w:tabs>
            <w:rPr>
              <w:rFonts w:asciiTheme="minorHAnsi" w:hAnsiTheme="minorHAnsi" w:eastAsiaTheme="minorEastAsia"/>
              <w:noProof/>
              <w:sz w:val="24"/>
              <w:szCs w:val="24"/>
            </w:rPr>
          </w:pPr>
          <w:hyperlink w:history="1" w:anchor="_Toc214644797">
            <w:r w:rsidRPr="009B2599">
              <w:rPr>
                <w:rStyle w:val="Hyperlink"/>
                <w:rFonts w:cs="Arial"/>
                <w:caps/>
                <w:noProof/>
                <w:specVanish/>
              </w:rPr>
              <w:t>7.7</w:t>
            </w:r>
            <w:r>
              <w:rPr>
                <w:rFonts w:asciiTheme="minorHAnsi" w:hAnsiTheme="minorHAnsi" w:eastAsiaTheme="minorEastAsia"/>
                <w:noProof/>
                <w:sz w:val="24"/>
                <w:szCs w:val="24"/>
              </w:rPr>
              <w:tab/>
            </w:r>
            <w:r w:rsidRPr="009B2599">
              <w:rPr>
                <w:rStyle w:val="Hyperlink"/>
                <w:rFonts w:cs="Arial"/>
                <w:noProof/>
              </w:rPr>
              <w:t>Tax Benefits.</w:t>
            </w:r>
            <w:r>
              <w:rPr>
                <w:noProof/>
                <w:webHidden/>
              </w:rPr>
              <w:tab/>
            </w:r>
            <w:r>
              <w:rPr>
                <w:noProof/>
                <w:webHidden/>
              </w:rPr>
              <w:fldChar w:fldCharType="begin"/>
            </w:r>
            <w:r>
              <w:rPr>
                <w:noProof/>
                <w:webHidden/>
              </w:rPr>
              <w:instrText xml:space="preserve"> PAGEREF _Toc214644797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4978BA4A" w14:textId="461ABE04">
          <w:pPr>
            <w:pStyle w:val="TOC2"/>
            <w:tabs>
              <w:tab w:val="left" w:pos="1440"/>
            </w:tabs>
            <w:rPr>
              <w:rFonts w:asciiTheme="minorHAnsi" w:hAnsiTheme="minorHAnsi" w:eastAsiaTheme="minorEastAsia"/>
              <w:noProof/>
              <w:sz w:val="24"/>
              <w:szCs w:val="24"/>
            </w:rPr>
          </w:pPr>
          <w:hyperlink w:history="1" w:anchor="_Toc214644798">
            <w:r w:rsidRPr="009B2599">
              <w:rPr>
                <w:rStyle w:val="Hyperlink"/>
                <w:rFonts w:cs="Arial"/>
                <w:caps/>
                <w:noProof/>
                <w:specVanish/>
              </w:rPr>
              <w:t>7.8</w:t>
            </w:r>
            <w:r>
              <w:rPr>
                <w:rFonts w:asciiTheme="minorHAnsi" w:hAnsiTheme="minorHAnsi" w:eastAsiaTheme="minorEastAsia"/>
                <w:noProof/>
                <w:sz w:val="24"/>
                <w:szCs w:val="24"/>
              </w:rPr>
              <w:tab/>
            </w:r>
            <w:r w:rsidRPr="009B2599">
              <w:rPr>
                <w:rStyle w:val="Hyperlink"/>
                <w:rFonts w:cs="Arial"/>
                <w:noProof/>
              </w:rPr>
              <w:t>Prevailing Wage and Apprenticeship.</w:t>
            </w:r>
            <w:r>
              <w:rPr>
                <w:noProof/>
                <w:webHidden/>
              </w:rPr>
              <w:tab/>
            </w:r>
            <w:r>
              <w:rPr>
                <w:noProof/>
                <w:webHidden/>
              </w:rPr>
              <w:fldChar w:fldCharType="begin"/>
            </w:r>
            <w:r>
              <w:rPr>
                <w:noProof/>
                <w:webHidden/>
              </w:rPr>
              <w:instrText xml:space="preserve"> PAGEREF _Toc214644798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378F81D3" w14:textId="76B4420C">
          <w:pPr>
            <w:pStyle w:val="TOC2"/>
            <w:tabs>
              <w:tab w:val="left" w:pos="1440"/>
            </w:tabs>
            <w:rPr>
              <w:rFonts w:asciiTheme="minorHAnsi" w:hAnsiTheme="minorHAnsi" w:eastAsiaTheme="minorEastAsia"/>
              <w:noProof/>
              <w:sz w:val="24"/>
              <w:szCs w:val="24"/>
            </w:rPr>
          </w:pPr>
          <w:hyperlink w:history="1" w:anchor="_Toc214644799">
            <w:r w:rsidRPr="009B2599">
              <w:rPr>
                <w:rStyle w:val="Hyperlink"/>
                <w:rFonts w:cs="Arial"/>
                <w:caps/>
                <w:noProof/>
                <w:specVanish/>
              </w:rPr>
              <w:t>7.9</w:t>
            </w:r>
            <w:r>
              <w:rPr>
                <w:rFonts w:asciiTheme="minorHAnsi" w:hAnsiTheme="minorHAnsi" w:eastAsiaTheme="minorEastAsia"/>
                <w:noProof/>
                <w:sz w:val="24"/>
                <w:szCs w:val="24"/>
              </w:rPr>
              <w:tab/>
            </w:r>
            <w:r w:rsidRPr="009B2599">
              <w:rPr>
                <w:rStyle w:val="Hyperlink"/>
                <w:rFonts w:cs="Arial"/>
                <w:noProof/>
              </w:rPr>
              <w:t>Recordkeeping Requirements.</w:t>
            </w:r>
            <w:r>
              <w:rPr>
                <w:noProof/>
                <w:webHidden/>
              </w:rPr>
              <w:tab/>
            </w:r>
            <w:r>
              <w:rPr>
                <w:noProof/>
                <w:webHidden/>
              </w:rPr>
              <w:fldChar w:fldCharType="begin"/>
            </w:r>
            <w:r>
              <w:rPr>
                <w:noProof/>
                <w:webHidden/>
              </w:rPr>
              <w:instrText xml:space="preserve"> PAGEREF _Toc214644799 \h </w:instrText>
            </w:r>
            <w:r>
              <w:rPr>
                <w:noProof/>
                <w:webHidden/>
              </w:rPr>
            </w:r>
            <w:r>
              <w:rPr>
                <w:noProof/>
                <w:webHidden/>
              </w:rPr>
              <w:fldChar w:fldCharType="separate"/>
            </w:r>
            <w:r>
              <w:rPr>
                <w:noProof/>
                <w:webHidden/>
              </w:rPr>
              <w:t>50</w:t>
            </w:r>
            <w:r>
              <w:rPr>
                <w:noProof/>
                <w:webHidden/>
              </w:rPr>
              <w:fldChar w:fldCharType="end"/>
            </w:r>
          </w:hyperlink>
        </w:p>
        <w:p w:rsidR="002B196E" w:rsidRDefault="002B196E" w14:paraId="1774466F" w14:textId="282632D2">
          <w:pPr>
            <w:pStyle w:val="TOC1"/>
            <w:rPr>
              <w:rFonts w:asciiTheme="minorHAnsi" w:hAnsiTheme="minorHAnsi" w:eastAsiaTheme="minorEastAsia"/>
              <w:b w:val="0"/>
              <w:caps w:val="0"/>
              <w:noProof/>
              <w:sz w:val="24"/>
              <w:szCs w:val="24"/>
            </w:rPr>
          </w:pPr>
          <w:hyperlink w:history="1" w:anchor="_Toc214644800">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8.</w:t>
            </w:r>
            <w:r>
              <w:rPr>
                <w:rFonts w:asciiTheme="minorHAnsi" w:hAnsiTheme="minorHAnsi" w:eastAsiaTheme="minorEastAsia"/>
                <w:b w:val="0"/>
                <w:caps w:val="0"/>
                <w:noProof/>
                <w:sz w:val="24"/>
                <w:szCs w:val="24"/>
              </w:rPr>
              <w:tab/>
            </w:r>
            <w:r w:rsidRPr="009B2599">
              <w:rPr>
                <w:rStyle w:val="Hyperlink"/>
                <w:noProof/>
              </w:rPr>
              <w:t>Risk and Claims</w:t>
            </w:r>
            <w:r>
              <w:rPr>
                <w:noProof/>
                <w:webHidden/>
              </w:rPr>
              <w:tab/>
            </w:r>
            <w:r>
              <w:rPr>
                <w:noProof/>
                <w:webHidden/>
              </w:rPr>
              <w:fldChar w:fldCharType="begin"/>
            </w:r>
            <w:r>
              <w:rPr>
                <w:noProof/>
                <w:webHidden/>
              </w:rPr>
              <w:instrText xml:space="preserve"> PAGEREF _Toc214644800 \h </w:instrText>
            </w:r>
            <w:r>
              <w:rPr>
                <w:noProof/>
                <w:webHidden/>
              </w:rPr>
            </w:r>
            <w:r>
              <w:rPr>
                <w:noProof/>
                <w:webHidden/>
              </w:rPr>
              <w:fldChar w:fldCharType="separate"/>
            </w:r>
            <w:r>
              <w:rPr>
                <w:noProof/>
                <w:webHidden/>
              </w:rPr>
              <w:t>51</w:t>
            </w:r>
            <w:r>
              <w:rPr>
                <w:noProof/>
                <w:webHidden/>
              </w:rPr>
              <w:fldChar w:fldCharType="end"/>
            </w:r>
          </w:hyperlink>
        </w:p>
        <w:p w:rsidR="002B196E" w:rsidRDefault="002B196E" w14:paraId="62BECE70" w14:textId="15614E1C">
          <w:pPr>
            <w:pStyle w:val="TOC2"/>
            <w:tabs>
              <w:tab w:val="left" w:pos="1440"/>
            </w:tabs>
            <w:rPr>
              <w:rFonts w:asciiTheme="minorHAnsi" w:hAnsiTheme="minorHAnsi" w:eastAsiaTheme="minorEastAsia"/>
              <w:noProof/>
              <w:sz w:val="24"/>
              <w:szCs w:val="24"/>
            </w:rPr>
          </w:pPr>
          <w:hyperlink w:history="1" w:anchor="_Toc214644801">
            <w:r w:rsidRPr="009B2599">
              <w:rPr>
                <w:rStyle w:val="Hyperlink"/>
                <w:rFonts w:cs="Arial"/>
                <w:caps/>
                <w:noProof/>
                <w:specVanish/>
              </w:rPr>
              <w:t>8.1</w:t>
            </w:r>
            <w:r>
              <w:rPr>
                <w:rFonts w:asciiTheme="minorHAnsi" w:hAnsiTheme="minorHAnsi" w:eastAsiaTheme="minorEastAsia"/>
                <w:noProof/>
                <w:sz w:val="24"/>
                <w:szCs w:val="24"/>
              </w:rPr>
              <w:tab/>
            </w:r>
            <w:r w:rsidRPr="009B2599">
              <w:rPr>
                <w:rStyle w:val="Hyperlink"/>
                <w:rFonts w:cs="Arial"/>
                <w:noProof/>
              </w:rPr>
              <w:t>Survival.</w:t>
            </w:r>
            <w:r>
              <w:rPr>
                <w:noProof/>
                <w:webHidden/>
              </w:rPr>
              <w:tab/>
            </w:r>
            <w:r>
              <w:rPr>
                <w:noProof/>
                <w:webHidden/>
              </w:rPr>
              <w:fldChar w:fldCharType="begin"/>
            </w:r>
            <w:r>
              <w:rPr>
                <w:noProof/>
                <w:webHidden/>
              </w:rPr>
              <w:instrText xml:space="preserve"> PAGEREF _Toc214644801 \h </w:instrText>
            </w:r>
            <w:r>
              <w:rPr>
                <w:noProof/>
                <w:webHidden/>
              </w:rPr>
            </w:r>
            <w:r>
              <w:rPr>
                <w:noProof/>
                <w:webHidden/>
              </w:rPr>
              <w:fldChar w:fldCharType="separate"/>
            </w:r>
            <w:r>
              <w:rPr>
                <w:noProof/>
                <w:webHidden/>
              </w:rPr>
              <w:t>51</w:t>
            </w:r>
            <w:r>
              <w:rPr>
                <w:noProof/>
                <w:webHidden/>
              </w:rPr>
              <w:fldChar w:fldCharType="end"/>
            </w:r>
          </w:hyperlink>
        </w:p>
        <w:p w:rsidR="002B196E" w:rsidRDefault="002B196E" w14:paraId="4D028EC8" w14:textId="484832AD">
          <w:pPr>
            <w:pStyle w:val="TOC2"/>
            <w:tabs>
              <w:tab w:val="left" w:pos="1440"/>
            </w:tabs>
            <w:rPr>
              <w:rFonts w:asciiTheme="minorHAnsi" w:hAnsiTheme="minorHAnsi" w:eastAsiaTheme="minorEastAsia"/>
              <w:noProof/>
              <w:sz w:val="24"/>
              <w:szCs w:val="24"/>
            </w:rPr>
          </w:pPr>
          <w:hyperlink w:history="1" w:anchor="_Toc214644802">
            <w:r w:rsidRPr="009B2599">
              <w:rPr>
                <w:rStyle w:val="Hyperlink"/>
                <w:rFonts w:cs="Arial"/>
                <w:caps/>
                <w:noProof/>
                <w:specVanish/>
              </w:rPr>
              <w:t>8.2</w:t>
            </w:r>
            <w:r>
              <w:rPr>
                <w:rFonts w:asciiTheme="minorHAnsi" w:hAnsiTheme="minorHAnsi" w:eastAsiaTheme="minorEastAsia"/>
                <w:noProof/>
                <w:sz w:val="24"/>
                <w:szCs w:val="24"/>
              </w:rPr>
              <w:tab/>
            </w:r>
            <w:r w:rsidRPr="009B2599">
              <w:rPr>
                <w:rStyle w:val="Hyperlink"/>
                <w:rFonts w:cs="Arial"/>
                <w:noProof/>
              </w:rPr>
              <w:t>Liability for the Facility.</w:t>
            </w:r>
            <w:r>
              <w:rPr>
                <w:noProof/>
                <w:webHidden/>
              </w:rPr>
              <w:tab/>
            </w:r>
            <w:r>
              <w:rPr>
                <w:noProof/>
                <w:webHidden/>
              </w:rPr>
              <w:fldChar w:fldCharType="begin"/>
            </w:r>
            <w:r>
              <w:rPr>
                <w:noProof/>
                <w:webHidden/>
              </w:rPr>
              <w:instrText xml:space="preserve"> PAGEREF _Toc214644802 \h </w:instrText>
            </w:r>
            <w:r>
              <w:rPr>
                <w:noProof/>
                <w:webHidden/>
              </w:rPr>
            </w:r>
            <w:r>
              <w:rPr>
                <w:noProof/>
                <w:webHidden/>
              </w:rPr>
              <w:fldChar w:fldCharType="separate"/>
            </w:r>
            <w:r>
              <w:rPr>
                <w:noProof/>
                <w:webHidden/>
              </w:rPr>
              <w:t>51</w:t>
            </w:r>
            <w:r>
              <w:rPr>
                <w:noProof/>
                <w:webHidden/>
              </w:rPr>
              <w:fldChar w:fldCharType="end"/>
            </w:r>
          </w:hyperlink>
        </w:p>
        <w:p w:rsidR="002B196E" w:rsidRDefault="002B196E" w14:paraId="762C5E4D" w14:textId="18483E6F">
          <w:pPr>
            <w:pStyle w:val="TOC2"/>
            <w:tabs>
              <w:tab w:val="left" w:pos="1440"/>
            </w:tabs>
            <w:rPr>
              <w:rFonts w:asciiTheme="minorHAnsi" w:hAnsiTheme="minorHAnsi" w:eastAsiaTheme="minorEastAsia"/>
              <w:noProof/>
              <w:sz w:val="24"/>
              <w:szCs w:val="24"/>
            </w:rPr>
          </w:pPr>
          <w:hyperlink w:history="1" w:anchor="_Toc214644803">
            <w:r w:rsidRPr="009B2599">
              <w:rPr>
                <w:rStyle w:val="Hyperlink"/>
                <w:rFonts w:cs="Arial"/>
                <w:caps/>
                <w:noProof/>
                <w:specVanish/>
              </w:rPr>
              <w:t>8.3</w:t>
            </w:r>
            <w:r>
              <w:rPr>
                <w:rFonts w:asciiTheme="minorHAnsi" w:hAnsiTheme="minorHAnsi" w:eastAsiaTheme="minorEastAsia"/>
                <w:noProof/>
                <w:sz w:val="24"/>
                <w:szCs w:val="24"/>
              </w:rPr>
              <w:tab/>
            </w:r>
            <w:r w:rsidRPr="009B2599">
              <w:rPr>
                <w:rStyle w:val="Hyperlink"/>
                <w:rFonts w:cs="Arial"/>
                <w:noProof/>
              </w:rPr>
              <w:t>Indemnification by Seller.</w:t>
            </w:r>
            <w:r>
              <w:rPr>
                <w:noProof/>
                <w:webHidden/>
              </w:rPr>
              <w:tab/>
            </w:r>
            <w:r>
              <w:rPr>
                <w:noProof/>
                <w:webHidden/>
              </w:rPr>
              <w:fldChar w:fldCharType="begin"/>
            </w:r>
            <w:r>
              <w:rPr>
                <w:noProof/>
                <w:webHidden/>
              </w:rPr>
              <w:instrText xml:space="preserve"> PAGEREF _Toc214644803 \h </w:instrText>
            </w:r>
            <w:r>
              <w:rPr>
                <w:noProof/>
                <w:webHidden/>
              </w:rPr>
            </w:r>
            <w:r>
              <w:rPr>
                <w:noProof/>
                <w:webHidden/>
              </w:rPr>
              <w:fldChar w:fldCharType="separate"/>
            </w:r>
            <w:r>
              <w:rPr>
                <w:noProof/>
                <w:webHidden/>
              </w:rPr>
              <w:t>51</w:t>
            </w:r>
            <w:r>
              <w:rPr>
                <w:noProof/>
                <w:webHidden/>
              </w:rPr>
              <w:fldChar w:fldCharType="end"/>
            </w:r>
          </w:hyperlink>
        </w:p>
        <w:p w:rsidR="002B196E" w:rsidRDefault="002B196E" w14:paraId="1F2AB366" w14:textId="7C5CA630">
          <w:pPr>
            <w:pStyle w:val="TOC2"/>
            <w:tabs>
              <w:tab w:val="left" w:pos="1440"/>
            </w:tabs>
            <w:rPr>
              <w:rFonts w:asciiTheme="minorHAnsi" w:hAnsiTheme="minorHAnsi" w:eastAsiaTheme="minorEastAsia"/>
              <w:noProof/>
              <w:sz w:val="24"/>
              <w:szCs w:val="24"/>
            </w:rPr>
          </w:pPr>
          <w:hyperlink w:history="1" w:anchor="_Toc214644804">
            <w:r w:rsidRPr="009B2599">
              <w:rPr>
                <w:rStyle w:val="Hyperlink"/>
                <w:rFonts w:cs="Arial"/>
                <w:caps/>
                <w:noProof/>
                <w:specVanish/>
              </w:rPr>
              <w:t>8.4</w:t>
            </w:r>
            <w:r>
              <w:rPr>
                <w:rFonts w:asciiTheme="minorHAnsi" w:hAnsiTheme="minorHAnsi" w:eastAsiaTheme="minorEastAsia"/>
                <w:noProof/>
                <w:sz w:val="24"/>
                <w:szCs w:val="24"/>
              </w:rPr>
              <w:tab/>
            </w:r>
            <w:r w:rsidRPr="009B2599">
              <w:rPr>
                <w:rStyle w:val="Hyperlink"/>
                <w:rFonts w:cs="Arial"/>
                <w:noProof/>
              </w:rPr>
              <w:t>Environmental Indemnity.</w:t>
            </w:r>
            <w:r>
              <w:rPr>
                <w:noProof/>
                <w:webHidden/>
              </w:rPr>
              <w:tab/>
            </w:r>
            <w:r>
              <w:rPr>
                <w:noProof/>
                <w:webHidden/>
              </w:rPr>
              <w:fldChar w:fldCharType="begin"/>
            </w:r>
            <w:r>
              <w:rPr>
                <w:noProof/>
                <w:webHidden/>
              </w:rPr>
              <w:instrText xml:space="preserve"> PAGEREF _Toc214644804 \h </w:instrText>
            </w:r>
            <w:r>
              <w:rPr>
                <w:noProof/>
                <w:webHidden/>
              </w:rPr>
            </w:r>
            <w:r>
              <w:rPr>
                <w:noProof/>
                <w:webHidden/>
              </w:rPr>
              <w:fldChar w:fldCharType="separate"/>
            </w:r>
            <w:r>
              <w:rPr>
                <w:noProof/>
                <w:webHidden/>
              </w:rPr>
              <w:t>52</w:t>
            </w:r>
            <w:r>
              <w:rPr>
                <w:noProof/>
                <w:webHidden/>
              </w:rPr>
              <w:fldChar w:fldCharType="end"/>
            </w:r>
          </w:hyperlink>
        </w:p>
        <w:p w:rsidR="002B196E" w:rsidRDefault="002B196E" w14:paraId="44311A9C" w14:textId="541F1E91">
          <w:pPr>
            <w:pStyle w:val="TOC2"/>
            <w:tabs>
              <w:tab w:val="left" w:pos="1440"/>
            </w:tabs>
            <w:rPr>
              <w:rFonts w:asciiTheme="minorHAnsi" w:hAnsiTheme="minorHAnsi" w:eastAsiaTheme="minorEastAsia"/>
              <w:noProof/>
              <w:sz w:val="24"/>
              <w:szCs w:val="24"/>
            </w:rPr>
          </w:pPr>
          <w:hyperlink w:history="1" w:anchor="_Toc214644805">
            <w:r w:rsidRPr="009B2599">
              <w:rPr>
                <w:rStyle w:val="Hyperlink"/>
                <w:rFonts w:cs="Arial"/>
                <w:caps/>
                <w:noProof/>
                <w:specVanish/>
              </w:rPr>
              <w:t>8.5</w:t>
            </w:r>
            <w:r>
              <w:rPr>
                <w:rFonts w:asciiTheme="minorHAnsi" w:hAnsiTheme="minorHAnsi" w:eastAsiaTheme="minorEastAsia"/>
                <w:noProof/>
                <w:sz w:val="24"/>
                <w:szCs w:val="24"/>
              </w:rPr>
              <w:tab/>
            </w:r>
            <w:r w:rsidRPr="009B2599">
              <w:rPr>
                <w:rStyle w:val="Hyperlink"/>
                <w:rFonts w:cs="Arial"/>
                <w:noProof/>
              </w:rPr>
              <w:t>Notice of Proceeding.</w:t>
            </w:r>
            <w:r>
              <w:rPr>
                <w:noProof/>
                <w:webHidden/>
              </w:rPr>
              <w:tab/>
            </w:r>
            <w:r>
              <w:rPr>
                <w:noProof/>
                <w:webHidden/>
              </w:rPr>
              <w:fldChar w:fldCharType="begin"/>
            </w:r>
            <w:r>
              <w:rPr>
                <w:noProof/>
                <w:webHidden/>
              </w:rPr>
              <w:instrText xml:space="preserve"> PAGEREF _Toc214644805 \h </w:instrText>
            </w:r>
            <w:r>
              <w:rPr>
                <w:noProof/>
                <w:webHidden/>
              </w:rPr>
            </w:r>
            <w:r>
              <w:rPr>
                <w:noProof/>
                <w:webHidden/>
              </w:rPr>
              <w:fldChar w:fldCharType="separate"/>
            </w:r>
            <w:r>
              <w:rPr>
                <w:noProof/>
                <w:webHidden/>
              </w:rPr>
              <w:t>52</w:t>
            </w:r>
            <w:r>
              <w:rPr>
                <w:noProof/>
                <w:webHidden/>
              </w:rPr>
              <w:fldChar w:fldCharType="end"/>
            </w:r>
          </w:hyperlink>
        </w:p>
        <w:p w:rsidR="002B196E" w:rsidRDefault="002B196E" w14:paraId="2AD6A23F" w14:textId="03F460D2">
          <w:pPr>
            <w:pStyle w:val="TOC2"/>
            <w:tabs>
              <w:tab w:val="left" w:pos="1440"/>
            </w:tabs>
            <w:rPr>
              <w:rFonts w:asciiTheme="minorHAnsi" w:hAnsiTheme="minorHAnsi" w:eastAsiaTheme="minorEastAsia"/>
              <w:noProof/>
              <w:sz w:val="24"/>
              <w:szCs w:val="24"/>
            </w:rPr>
          </w:pPr>
          <w:hyperlink w:history="1" w:anchor="_Toc214644806">
            <w:r w:rsidRPr="009B2599">
              <w:rPr>
                <w:rStyle w:val="Hyperlink"/>
                <w:rFonts w:cs="Arial"/>
                <w:caps/>
                <w:noProof/>
                <w:specVanish/>
              </w:rPr>
              <w:t>8.6</w:t>
            </w:r>
            <w:r>
              <w:rPr>
                <w:rFonts w:asciiTheme="minorHAnsi" w:hAnsiTheme="minorHAnsi" w:eastAsiaTheme="minorEastAsia"/>
                <w:noProof/>
                <w:sz w:val="24"/>
                <w:szCs w:val="24"/>
              </w:rPr>
              <w:tab/>
            </w:r>
            <w:r w:rsidRPr="009B2599">
              <w:rPr>
                <w:rStyle w:val="Hyperlink"/>
                <w:rFonts w:cs="Arial"/>
                <w:noProof/>
              </w:rPr>
              <w:t>Materiality.</w:t>
            </w:r>
            <w:r>
              <w:rPr>
                <w:noProof/>
                <w:webHidden/>
              </w:rPr>
              <w:tab/>
            </w:r>
            <w:r>
              <w:rPr>
                <w:noProof/>
                <w:webHidden/>
              </w:rPr>
              <w:fldChar w:fldCharType="begin"/>
            </w:r>
            <w:r>
              <w:rPr>
                <w:noProof/>
                <w:webHidden/>
              </w:rPr>
              <w:instrText xml:space="preserve"> PAGEREF _Toc214644806 \h </w:instrText>
            </w:r>
            <w:r>
              <w:rPr>
                <w:noProof/>
                <w:webHidden/>
              </w:rPr>
            </w:r>
            <w:r>
              <w:rPr>
                <w:noProof/>
                <w:webHidden/>
              </w:rPr>
              <w:fldChar w:fldCharType="separate"/>
            </w:r>
            <w:r>
              <w:rPr>
                <w:noProof/>
                <w:webHidden/>
              </w:rPr>
              <w:t>52</w:t>
            </w:r>
            <w:r>
              <w:rPr>
                <w:noProof/>
                <w:webHidden/>
              </w:rPr>
              <w:fldChar w:fldCharType="end"/>
            </w:r>
          </w:hyperlink>
        </w:p>
        <w:p w:rsidR="002B196E" w:rsidRDefault="002B196E" w14:paraId="071B20FC" w14:textId="30D2734C">
          <w:pPr>
            <w:pStyle w:val="TOC2"/>
            <w:tabs>
              <w:tab w:val="left" w:pos="1440"/>
            </w:tabs>
            <w:rPr>
              <w:rFonts w:asciiTheme="minorHAnsi" w:hAnsiTheme="minorHAnsi" w:eastAsiaTheme="minorEastAsia"/>
              <w:noProof/>
              <w:sz w:val="24"/>
              <w:szCs w:val="24"/>
            </w:rPr>
          </w:pPr>
          <w:hyperlink w:history="1" w:anchor="_Toc214644807">
            <w:r w:rsidRPr="009B2599">
              <w:rPr>
                <w:rStyle w:val="Hyperlink"/>
                <w:rFonts w:cs="Arial"/>
                <w:caps/>
                <w:noProof/>
                <w:specVanish/>
              </w:rPr>
              <w:t>8.7</w:t>
            </w:r>
            <w:r>
              <w:rPr>
                <w:rFonts w:asciiTheme="minorHAnsi" w:hAnsiTheme="minorHAnsi" w:eastAsiaTheme="minorEastAsia"/>
                <w:noProof/>
                <w:sz w:val="24"/>
                <w:szCs w:val="24"/>
              </w:rPr>
              <w:tab/>
            </w:r>
            <w:r w:rsidRPr="009B2599">
              <w:rPr>
                <w:rStyle w:val="Hyperlink"/>
                <w:rFonts w:cs="Arial"/>
                <w:noProof/>
              </w:rPr>
              <w:t>Effect of Investigation.</w:t>
            </w:r>
            <w:r>
              <w:rPr>
                <w:noProof/>
                <w:webHidden/>
              </w:rPr>
              <w:tab/>
            </w:r>
            <w:r>
              <w:rPr>
                <w:noProof/>
                <w:webHidden/>
              </w:rPr>
              <w:fldChar w:fldCharType="begin"/>
            </w:r>
            <w:r>
              <w:rPr>
                <w:noProof/>
                <w:webHidden/>
              </w:rPr>
              <w:instrText xml:space="preserve"> PAGEREF _Toc214644807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36CD0BB6" w14:textId="08CAD33E">
          <w:pPr>
            <w:pStyle w:val="TOC2"/>
            <w:tabs>
              <w:tab w:val="left" w:pos="1440"/>
            </w:tabs>
            <w:rPr>
              <w:rFonts w:asciiTheme="minorHAnsi" w:hAnsiTheme="minorHAnsi" w:eastAsiaTheme="minorEastAsia"/>
              <w:noProof/>
              <w:sz w:val="24"/>
              <w:szCs w:val="24"/>
            </w:rPr>
          </w:pPr>
          <w:hyperlink w:history="1" w:anchor="_Toc214644808">
            <w:r w:rsidRPr="009B2599">
              <w:rPr>
                <w:rStyle w:val="Hyperlink"/>
                <w:rFonts w:cs="Arial"/>
                <w:caps/>
                <w:noProof/>
                <w:specVanish/>
              </w:rPr>
              <w:t>8.8</w:t>
            </w:r>
            <w:r>
              <w:rPr>
                <w:rFonts w:asciiTheme="minorHAnsi" w:hAnsiTheme="minorHAnsi" w:eastAsiaTheme="minorEastAsia"/>
                <w:noProof/>
                <w:sz w:val="24"/>
                <w:szCs w:val="24"/>
              </w:rPr>
              <w:tab/>
            </w:r>
            <w:r w:rsidRPr="009B2599">
              <w:rPr>
                <w:rStyle w:val="Hyperlink"/>
                <w:rFonts w:cs="Arial"/>
                <w:noProof/>
              </w:rPr>
              <w:t>No Duplicate Payments.</w:t>
            </w:r>
            <w:r>
              <w:rPr>
                <w:noProof/>
                <w:webHidden/>
              </w:rPr>
              <w:tab/>
            </w:r>
            <w:r>
              <w:rPr>
                <w:noProof/>
                <w:webHidden/>
              </w:rPr>
              <w:fldChar w:fldCharType="begin"/>
            </w:r>
            <w:r>
              <w:rPr>
                <w:noProof/>
                <w:webHidden/>
              </w:rPr>
              <w:instrText xml:space="preserve"> PAGEREF _Toc214644808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73470660" w14:textId="49C18BC8">
          <w:pPr>
            <w:pStyle w:val="TOC2"/>
            <w:tabs>
              <w:tab w:val="left" w:pos="1440"/>
            </w:tabs>
            <w:rPr>
              <w:rFonts w:asciiTheme="minorHAnsi" w:hAnsiTheme="minorHAnsi" w:eastAsiaTheme="minorEastAsia"/>
              <w:noProof/>
              <w:sz w:val="24"/>
              <w:szCs w:val="24"/>
            </w:rPr>
          </w:pPr>
          <w:hyperlink w:history="1" w:anchor="_Toc214644809">
            <w:r w:rsidRPr="009B2599">
              <w:rPr>
                <w:rStyle w:val="Hyperlink"/>
                <w:rFonts w:cs="Arial"/>
                <w:caps/>
                <w:noProof/>
                <w:specVanish/>
              </w:rPr>
              <w:t>8.9</w:t>
            </w:r>
            <w:r>
              <w:rPr>
                <w:rFonts w:asciiTheme="minorHAnsi" w:hAnsiTheme="minorHAnsi" w:eastAsiaTheme="minorEastAsia"/>
                <w:noProof/>
                <w:sz w:val="24"/>
                <w:szCs w:val="24"/>
              </w:rPr>
              <w:tab/>
            </w:r>
            <w:r w:rsidRPr="009B2599">
              <w:rPr>
                <w:rStyle w:val="Hyperlink"/>
                <w:rFonts w:cs="Arial"/>
                <w:noProof/>
              </w:rPr>
              <w:t>Right to Specific Performance.</w:t>
            </w:r>
            <w:r>
              <w:rPr>
                <w:noProof/>
                <w:webHidden/>
              </w:rPr>
              <w:tab/>
            </w:r>
            <w:r>
              <w:rPr>
                <w:noProof/>
                <w:webHidden/>
              </w:rPr>
              <w:fldChar w:fldCharType="begin"/>
            </w:r>
            <w:r>
              <w:rPr>
                <w:noProof/>
                <w:webHidden/>
              </w:rPr>
              <w:instrText xml:space="preserve"> PAGEREF _Toc214644809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06CC9919" w14:textId="5649E87D">
          <w:pPr>
            <w:pStyle w:val="TOC2"/>
            <w:tabs>
              <w:tab w:val="left" w:pos="1440"/>
            </w:tabs>
            <w:rPr>
              <w:rFonts w:asciiTheme="minorHAnsi" w:hAnsiTheme="minorHAnsi" w:eastAsiaTheme="minorEastAsia"/>
              <w:noProof/>
              <w:sz w:val="24"/>
              <w:szCs w:val="24"/>
            </w:rPr>
          </w:pPr>
          <w:hyperlink w:history="1" w:anchor="_Toc214644810">
            <w:r w:rsidRPr="009B2599">
              <w:rPr>
                <w:rStyle w:val="Hyperlink"/>
                <w:rFonts w:cs="Arial"/>
                <w:caps/>
                <w:noProof/>
                <w:specVanish/>
              </w:rPr>
              <w:t>8.10</w:t>
            </w:r>
            <w:r>
              <w:rPr>
                <w:rFonts w:asciiTheme="minorHAnsi" w:hAnsiTheme="minorHAnsi" w:eastAsiaTheme="minorEastAsia"/>
                <w:noProof/>
                <w:sz w:val="24"/>
                <w:szCs w:val="24"/>
              </w:rPr>
              <w:tab/>
            </w:r>
            <w:r w:rsidRPr="009B2599">
              <w:rPr>
                <w:rStyle w:val="Hyperlink"/>
                <w:rFonts w:cs="Arial"/>
                <w:noProof/>
              </w:rPr>
              <w:t>Tax Characterization.</w:t>
            </w:r>
            <w:r>
              <w:rPr>
                <w:noProof/>
                <w:webHidden/>
              </w:rPr>
              <w:tab/>
            </w:r>
            <w:r>
              <w:rPr>
                <w:noProof/>
                <w:webHidden/>
              </w:rPr>
              <w:fldChar w:fldCharType="begin"/>
            </w:r>
            <w:r>
              <w:rPr>
                <w:noProof/>
                <w:webHidden/>
              </w:rPr>
              <w:instrText xml:space="preserve"> PAGEREF _Toc214644810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721A103F" w14:textId="1032F873">
          <w:pPr>
            <w:pStyle w:val="TOC2"/>
            <w:tabs>
              <w:tab w:val="left" w:pos="1440"/>
            </w:tabs>
            <w:rPr>
              <w:rFonts w:asciiTheme="minorHAnsi" w:hAnsiTheme="minorHAnsi" w:eastAsiaTheme="minorEastAsia"/>
              <w:noProof/>
              <w:sz w:val="24"/>
              <w:szCs w:val="24"/>
            </w:rPr>
          </w:pPr>
          <w:hyperlink w:history="1" w:anchor="_Toc214644811">
            <w:r w:rsidRPr="009B2599">
              <w:rPr>
                <w:rStyle w:val="Hyperlink"/>
                <w:rFonts w:cs="Arial"/>
                <w:caps/>
                <w:noProof/>
                <w:specVanish/>
              </w:rPr>
              <w:t>8.11</w:t>
            </w:r>
            <w:r>
              <w:rPr>
                <w:rFonts w:asciiTheme="minorHAnsi" w:hAnsiTheme="minorHAnsi" w:eastAsiaTheme="minorEastAsia"/>
                <w:noProof/>
                <w:sz w:val="24"/>
                <w:szCs w:val="24"/>
              </w:rPr>
              <w:tab/>
            </w:r>
            <w:r w:rsidRPr="009B2599">
              <w:rPr>
                <w:rStyle w:val="Hyperlink"/>
                <w:rFonts w:cs="Arial"/>
                <w:noProof/>
              </w:rPr>
              <w:t>Waiver of Consequential Damages.</w:t>
            </w:r>
            <w:r>
              <w:rPr>
                <w:noProof/>
                <w:webHidden/>
              </w:rPr>
              <w:tab/>
            </w:r>
            <w:r>
              <w:rPr>
                <w:noProof/>
                <w:webHidden/>
              </w:rPr>
              <w:fldChar w:fldCharType="begin"/>
            </w:r>
            <w:r>
              <w:rPr>
                <w:noProof/>
                <w:webHidden/>
              </w:rPr>
              <w:instrText xml:space="preserve"> PAGEREF _Toc214644811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6CEE3B9E" w14:textId="469025AA">
          <w:pPr>
            <w:pStyle w:val="TOC1"/>
            <w:rPr>
              <w:rFonts w:asciiTheme="minorHAnsi" w:hAnsiTheme="minorHAnsi" w:eastAsiaTheme="minorEastAsia"/>
              <w:b w:val="0"/>
              <w:caps w:val="0"/>
              <w:noProof/>
              <w:sz w:val="24"/>
              <w:szCs w:val="24"/>
            </w:rPr>
          </w:pPr>
          <w:hyperlink w:history="1" w:anchor="_Toc214644812">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9.</w:t>
            </w:r>
            <w:r>
              <w:rPr>
                <w:rFonts w:asciiTheme="minorHAnsi" w:hAnsiTheme="minorHAnsi" w:eastAsiaTheme="minorEastAsia"/>
                <w:b w:val="0"/>
                <w:caps w:val="0"/>
                <w:noProof/>
                <w:sz w:val="24"/>
                <w:szCs w:val="24"/>
              </w:rPr>
              <w:tab/>
            </w:r>
            <w:r w:rsidRPr="009B2599">
              <w:rPr>
                <w:rStyle w:val="Hyperlink"/>
                <w:noProof/>
              </w:rPr>
              <w:t>Termination</w:t>
            </w:r>
            <w:r>
              <w:rPr>
                <w:noProof/>
                <w:webHidden/>
              </w:rPr>
              <w:tab/>
            </w:r>
            <w:r>
              <w:rPr>
                <w:noProof/>
                <w:webHidden/>
              </w:rPr>
              <w:fldChar w:fldCharType="begin"/>
            </w:r>
            <w:r>
              <w:rPr>
                <w:noProof/>
                <w:webHidden/>
              </w:rPr>
              <w:instrText xml:space="preserve"> PAGEREF _Toc214644812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0A720A9F" w14:textId="18699607">
          <w:pPr>
            <w:pStyle w:val="TOC2"/>
            <w:tabs>
              <w:tab w:val="left" w:pos="1440"/>
            </w:tabs>
            <w:rPr>
              <w:rFonts w:asciiTheme="minorHAnsi" w:hAnsiTheme="minorHAnsi" w:eastAsiaTheme="minorEastAsia"/>
              <w:noProof/>
              <w:sz w:val="24"/>
              <w:szCs w:val="24"/>
            </w:rPr>
          </w:pPr>
          <w:hyperlink w:history="1" w:anchor="_Toc214644813">
            <w:r w:rsidRPr="009B2599">
              <w:rPr>
                <w:rStyle w:val="Hyperlink"/>
                <w:rFonts w:cs="Arial"/>
                <w:caps/>
                <w:noProof/>
                <w:specVanish/>
              </w:rPr>
              <w:t>9.1</w:t>
            </w:r>
            <w:r>
              <w:rPr>
                <w:rFonts w:asciiTheme="minorHAnsi" w:hAnsiTheme="minorHAnsi" w:eastAsiaTheme="minorEastAsia"/>
                <w:noProof/>
                <w:sz w:val="24"/>
                <w:szCs w:val="24"/>
              </w:rPr>
              <w:tab/>
            </w:r>
            <w:r w:rsidRPr="009B2599">
              <w:rPr>
                <w:rStyle w:val="Hyperlink"/>
                <w:rFonts w:cs="Arial"/>
                <w:noProof/>
              </w:rPr>
              <w:t>Termination.</w:t>
            </w:r>
            <w:r>
              <w:rPr>
                <w:noProof/>
                <w:webHidden/>
              </w:rPr>
              <w:tab/>
            </w:r>
            <w:r>
              <w:rPr>
                <w:noProof/>
                <w:webHidden/>
              </w:rPr>
              <w:fldChar w:fldCharType="begin"/>
            </w:r>
            <w:r>
              <w:rPr>
                <w:noProof/>
                <w:webHidden/>
              </w:rPr>
              <w:instrText xml:space="preserve"> PAGEREF _Toc214644813 \h </w:instrText>
            </w:r>
            <w:r>
              <w:rPr>
                <w:noProof/>
                <w:webHidden/>
              </w:rPr>
            </w:r>
            <w:r>
              <w:rPr>
                <w:noProof/>
                <w:webHidden/>
              </w:rPr>
              <w:fldChar w:fldCharType="separate"/>
            </w:r>
            <w:r>
              <w:rPr>
                <w:noProof/>
                <w:webHidden/>
              </w:rPr>
              <w:t>53</w:t>
            </w:r>
            <w:r>
              <w:rPr>
                <w:noProof/>
                <w:webHidden/>
              </w:rPr>
              <w:fldChar w:fldCharType="end"/>
            </w:r>
          </w:hyperlink>
        </w:p>
        <w:p w:rsidR="002B196E" w:rsidRDefault="002B196E" w14:paraId="540E30BB" w14:textId="0647686B">
          <w:pPr>
            <w:pStyle w:val="TOC2"/>
            <w:tabs>
              <w:tab w:val="left" w:pos="1440"/>
            </w:tabs>
            <w:rPr>
              <w:rFonts w:asciiTheme="minorHAnsi" w:hAnsiTheme="minorHAnsi" w:eastAsiaTheme="minorEastAsia"/>
              <w:noProof/>
              <w:sz w:val="24"/>
              <w:szCs w:val="24"/>
            </w:rPr>
          </w:pPr>
          <w:hyperlink w:history="1" w:anchor="_Toc214644814">
            <w:r w:rsidRPr="009B2599">
              <w:rPr>
                <w:rStyle w:val="Hyperlink"/>
                <w:rFonts w:cs="Arial"/>
                <w:caps/>
                <w:noProof/>
                <w:specVanish/>
              </w:rPr>
              <w:t>9.2</w:t>
            </w:r>
            <w:r>
              <w:rPr>
                <w:rFonts w:asciiTheme="minorHAnsi" w:hAnsiTheme="minorHAnsi" w:eastAsiaTheme="minorEastAsia"/>
                <w:noProof/>
                <w:sz w:val="24"/>
                <w:szCs w:val="24"/>
              </w:rPr>
              <w:tab/>
            </w:r>
            <w:r w:rsidRPr="009B2599">
              <w:rPr>
                <w:rStyle w:val="Hyperlink"/>
                <w:rFonts w:cs="Arial"/>
                <w:noProof/>
              </w:rPr>
              <w:t>Effect of Termination.</w:t>
            </w:r>
            <w:r>
              <w:rPr>
                <w:noProof/>
                <w:webHidden/>
              </w:rPr>
              <w:tab/>
            </w:r>
            <w:r>
              <w:rPr>
                <w:noProof/>
                <w:webHidden/>
              </w:rPr>
              <w:fldChar w:fldCharType="begin"/>
            </w:r>
            <w:r>
              <w:rPr>
                <w:noProof/>
                <w:webHidden/>
              </w:rPr>
              <w:instrText xml:space="preserve"> PAGEREF _Toc214644814 \h </w:instrText>
            </w:r>
            <w:r>
              <w:rPr>
                <w:noProof/>
                <w:webHidden/>
              </w:rPr>
            </w:r>
            <w:r>
              <w:rPr>
                <w:noProof/>
                <w:webHidden/>
              </w:rPr>
              <w:fldChar w:fldCharType="separate"/>
            </w:r>
            <w:r>
              <w:rPr>
                <w:noProof/>
                <w:webHidden/>
              </w:rPr>
              <w:t>54</w:t>
            </w:r>
            <w:r>
              <w:rPr>
                <w:noProof/>
                <w:webHidden/>
              </w:rPr>
              <w:fldChar w:fldCharType="end"/>
            </w:r>
          </w:hyperlink>
        </w:p>
        <w:p w:rsidR="002B196E" w:rsidRDefault="002B196E" w14:paraId="3F704DE6" w14:textId="75A46380">
          <w:pPr>
            <w:pStyle w:val="TOC2"/>
            <w:tabs>
              <w:tab w:val="left" w:pos="1440"/>
            </w:tabs>
            <w:rPr>
              <w:rFonts w:asciiTheme="minorHAnsi" w:hAnsiTheme="minorHAnsi" w:eastAsiaTheme="minorEastAsia"/>
              <w:noProof/>
              <w:sz w:val="24"/>
              <w:szCs w:val="24"/>
            </w:rPr>
          </w:pPr>
          <w:hyperlink w:history="1" w:anchor="_Toc214644815">
            <w:r w:rsidRPr="009B2599">
              <w:rPr>
                <w:rStyle w:val="Hyperlink"/>
                <w:rFonts w:cs="Arial"/>
                <w:caps/>
                <w:noProof/>
                <w:specVanish/>
              </w:rPr>
              <w:t>9.3</w:t>
            </w:r>
            <w:r>
              <w:rPr>
                <w:rFonts w:asciiTheme="minorHAnsi" w:hAnsiTheme="minorHAnsi" w:eastAsiaTheme="minorEastAsia"/>
                <w:noProof/>
                <w:sz w:val="24"/>
                <w:szCs w:val="24"/>
              </w:rPr>
              <w:tab/>
            </w:r>
            <w:r w:rsidRPr="009B2599">
              <w:rPr>
                <w:rStyle w:val="Hyperlink"/>
                <w:rFonts w:cs="Arial"/>
                <w:noProof/>
              </w:rPr>
              <w:t>Survival.</w:t>
            </w:r>
            <w:r>
              <w:rPr>
                <w:noProof/>
                <w:webHidden/>
              </w:rPr>
              <w:tab/>
            </w:r>
            <w:r>
              <w:rPr>
                <w:noProof/>
                <w:webHidden/>
              </w:rPr>
              <w:fldChar w:fldCharType="begin"/>
            </w:r>
            <w:r>
              <w:rPr>
                <w:noProof/>
                <w:webHidden/>
              </w:rPr>
              <w:instrText xml:space="preserve"> PAGEREF _Toc214644815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526953D5" w14:textId="56172DA7">
          <w:pPr>
            <w:pStyle w:val="TOC1"/>
            <w:tabs>
              <w:tab w:val="left" w:pos="1440"/>
            </w:tabs>
            <w:rPr>
              <w:rFonts w:asciiTheme="minorHAnsi" w:hAnsiTheme="minorHAnsi" w:eastAsiaTheme="minorEastAsia"/>
              <w:b w:val="0"/>
              <w:caps w:val="0"/>
              <w:noProof/>
              <w:sz w:val="24"/>
              <w:szCs w:val="24"/>
            </w:rPr>
          </w:pPr>
          <w:hyperlink w:history="1" w:anchor="_Toc214644816">
            <w:r w:rsidRPr="009B2599">
              <w:rPr>
                <w:rStyle w:val="Hyperlink"/>
                <w:rFonts w:cs="Times New Roman"/>
                <w:noProof/>
                <w14:scene3d>
                  <w14:camera w14:prst="orthographicFront"/>
                  <w14:lightRig w14:rig="threePt" w14:dir="t">
                    <w14:rot w14:lat="0" w14:lon="0" w14:rev="0"/>
                  </w14:lightRig>
                </w14:scene3d>
                <w14:props3d w14:extrusionH="0" w14:contourW="0" w14:prstMaterial="warmMatte"/>
              </w:rPr>
              <w:t>Part 10.</w:t>
            </w:r>
            <w:r>
              <w:rPr>
                <w:rFonts w:asciiTheme="minorHAnsi" w:hAnsiTheme="minorHAnsi" w:eastAsiaTheme="minorEastAsia"/>
                <w:b w:val="0"/>
                <w:caps w:val="0"/>
                <w:noProof/>
                <w:sz w:val="24"/>
                <w:szCs w:val="24"/>
              </w:rPr>
              <w:tab/>
            </w:r>
            <w:r w:rsidRPr="009B2599">
              <w:rPr>
                <w:rStyle w:val="Hyperlink"/>
                <w:noProof/>
              </w:rPr>
              <w:t>Miscellaneous</w:t>
            </w:r>
            <w:r>
              <w:rPr>
                <w:noProof/>
                <w:webHidden/>
              </w:rPr>
              <w:tab/>
            </w:r>
            <w:r>
              <w:rPr>
                <w:noProof/>
                <w:webHidden/>
              </w:rPr>
              <w:fldChar w:fldCharType="begin"/>
            </w:r>
            <w:r>
              <w:rPr>
                <w:noProof/>
                <w:webHidden/>
              </w:rPr>
              <w:instrText xml:space="preserve"> PAGEREF _Toc214644816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2DC20612" w14:textId="5F5A18B7">
          <w:pPr>
            <w:pStyle w:val="TOC2"/>
            <w:tabs>
              <w:tab w:val="left" w:pos="1440"/>
            </w:tabs>
            <w:rPr>
              <w:rFonts w:asciiTheme="minorHAnsi" w:hAnsiTheme="minorHAnsi" w:eastAsiaTheme="minorEastAsia"/>
              <w:noProof/>
              <w:sz w:val="24"/>
              <w:szCs w:val="24"/>
            </w:rPr>
          </w:pPr>
          <w:hyperlink w:history="1" w:anchor="_Toc214644817">
            <w:r w:rsidRPr="009B2599">
              <w:rPr>
                <w:rStyle w:val="Hyperlink"/>
                <w:rFonts w:cs="Arial"/>
                <w:caps/>
                <w:noProof/>
                <w:specVanish/>
              </w:rPr>
              <w:t>10.1</w:t>
            </w:r>
            <w:r>
              <w:rPr>
                <w:rFonts w:asciiTheme="minorHAnsi" w:hAnsiTheme="minorHAnsi" w:eastAsiaTheme="minorEastAsia"/>
                <w:noProof/>
                <w:sz w:val="24"/>
                <w:szCs w:val="24"/>
              </w:rPr>
              <w:tab/>
            </w:r>
            <w:r w:rsidRPr="009B2599">
              <w:rPr>
                <w:rStyle w:val="Hyperlink"/>
                <w:rFonts w:cs="Arial"/>
                <w:noProof/>
              </w:rPr>
              <w:t>Notices.</w:t>
            </w:r>
            <w:r>
              <w:rPr>
                <w:noProof/>
                <w:webHidden/>
              </w:rPr>
              <w:tab/>
            </w:r>
            <w:r>
              <w:rPr>
                <w:noProof/>
                <w:webHidden/>
              </w:rPr>
              <w:fldChar w:fldCharType="begin"/>
            </w:r>
            <w:r>
              <w:rPr>
                <w:noProof/>
                <w:webHidden/>
              </w:rPr>
              <w:instrText xml:space="preserve"> PAGEREF _Toc214644817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076FA567" w14:textId="3EA72989">
          <w:pPr>
            <w:pStyle w:val="TOC2"/>
            <w:tabs>
              <w:tab w:val="left" w:pos="1440"/>
            </w:tabs>
            <w:rPr>
              <w:rFonts w:asciiTheme="minorHAnsi" w:hAnsiTheme="minorHAnsi" w:eastAsiaTheme="minorEastAsia"/>
              <w:noProof/>
              <w:sz w:val="24"/>
              <w:szCs w:val="24"/>
            </w:rPr>
          </w:pPr>
          <w:hyperlink w:history="1" w:anchor="_Toc214644818">
            <w:r w:rsidRPr="009B2599">
              <w:rPr>
                <w:rStyle w:val="Hyperlink"/>
                <w:rFonts w:cs="Arial"/>
                <w:caps/>
                <w:noProof/>
                <w:specVanish/>
              </w:rPr>
              <w:t>10.2</w:t>
            </w:r>
            <w:r>
              <w:rPr>
                <w:rFonts w:asciiTheme="minorHAnsi" w:hAnsiTheme="minorHAnsi" w:eastAsiaTheme="minorEastAsia"/>
                <w:noProof/>
                <w:sz w:val="24"/>
                <w:szCs w:val="24"/>
              </w:rPr>
              <w:tab/>
            </w:r>
            <w:r w:rsidRPr="009B2599">
              <w:rPr>
                <w:rStyle w:val="Hyperlink"/>
                <w:rFonts w:cs="Arial"/>
                <w:noProof/>
              </w:rPr>
              <w:t>Severability.</w:t>
            </w:r>
            <w:r>
              <w:rPr>
                <w:noProof/>
                <w:webHidden/>
              </w:rPr>
              <w:tab/>
            </w:r>
            <w:r>
              <w:rPr>
                <w:noProof/>
                <w:webHidden/>
              </w:rPr>
              <w:fldChar w:fldCharType="begin"/>
            </w:r>
            <w:r>
              <w:rPr>
                <w:noProof/>
                <w:webHidden/>
              </w:rPr>
              <w:instrText xml:space="preserve"> PAGEREF _Toc214644818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6129111F" w14:textId="1CD838B7">
          <w:pPr>
            <w:pStyle w:val="TOC2"/>
            <w:tabs>
              <w:tab w:val="left" w:pos="1440"/>
            </w:tabs>
            <w:rPr>
              <w:rFonts w:asciiTheme="minorHAnsi" w:hAnsiTheme="minorHAnsi" w:eastAsiaTheme="minorEastAsia"/>
              <w:noProof/>
              <w:sz w:val="24"/>
              <w:szCs w:val="24"/>
            </w:rPr>
          </w:pPr>
          <w:hyperlink w:history="1" w:anchor="_Toc214644819">
            <w:r w:rsidRPr="009B2599">
              <w:rPr>
                <w:rStyle w:val="Hyperlink"/>
                <w:rFonts w:cs="Arial"/>
                <w:caps/>
                <w:noProof/>
                <w:specVanish/>
              </w:rPr>
              <w:t>10.3</w:t>
            </w:r>
            <w:r>
              <w:rPr>
                <w:rFonts w:asciiTheme="minorHAnsi" w:hAnsiTheme="minorHAnsi" w:eastAsiaTheme="minorEastAsia"/>
                <w:noProof/>
                <w:sz w:val="24"/>
                <w:szCs w:val="24"/>
              </w:rPr>
              <w:tab/>
            </w:r>
            <w:r w:rsidRPr="009B2599">
              <w:rPr>
                <w:rStyle w:val="Hyperlink"/>
                <w:rFonts w:cs="Arial"/>
                <w:noProof/>
              </w:rPr>
              <w:t>Assignment.</w:t>
            </w:r>
            <w:r>
              <w:rPr>
                <w:noProof/>
                <w:webHidden/>
              </w:rPr>
              <w:tab/>
            </w:r>
            <w:r>
              <w:rPr>
                <w:noProof/>
                <w:webHidden/>
              </w:rPr>
              <w:fldChar w:fldCharType="begin"/>
            </w:r>
            <w:r>
              <w:rPr>
                <w:noProof/>
                <w:webHidden/>
              </w:rPr>
              <w:instrText xml:space="preserve"> PAGEREF _Toc214644819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7F82AEA5" w14:textId="0037F89D">
          <w:pPr>
            <w:pStyle w:val="TOC2"/>
            <w:tabs>
              <w:tab w:val="left" w:pos="1440"/>
            </w:tabs>
            <w:rPr>
              <w:rFonts w:asciiTheme="minorHAnsi" w:hAnsiTheme="minorHAnsi" w:eastAsiaTheme="minorEastAsia"/>
              <w:noProof/>
              <w:sz w:val="24"/>
              <w:szCs w:val="24"/>
            </w:rPr>
          </w:pPr>
          <w:hyperlink w:history="1" w:anchor="_Toc214644820">
            <w:r w:rsidRPr="009B2599">
              <w:rPr>
                <w:rStyle w:val="Hyperlink"/>
                <w:rFonts w:cs="Arial"/>
                <w:caps/>
                <w:noProof/>
                <w:specVanish/>
              </w:rPr>
              <w:t>10.4</w:t>
            </w:r>
            <w:r>
              <w:rPr>
                <w:rFonts w:asciiTheme="minorHAnsi" w:hAnsiTheme="minorHAnsi" w:eastAsiaTheme="minorEastAsia"/>
                <w:noProof/>
                <w:sz w:val="24"/>
                <w:szCs w:val="24"/>
              </w:rPr>
              <w:tab/>
            </w:r>
            <w:r w:rsidRPr="009B2599">
              <w:rPr>
                <w:rStyle w:val="Hyperlink"/>
                <w:rFonts w:cs="Arial"/>
                <w:noProof/>
              </w:rPr>
              <w:t>Electronic Signature.</w:t>
            </w:r>
            <w:r>
              <w:rPr>
                <w:noProof/>
                <w:webHidden/>
              </w:rPr>
              <w:tab/>
            </w:r>
            <w:r>
              <w:rPr>
                <w:noProof/>
                <w:webHidden/>
              </w:rPr>
              <w:fldChar w:fldCharType="begin"/>
            </w:r>
            <w:r>
              <w:rPr>
                <w:noProof/>
                <w:webHidden/>
              </w:rPr>
              <w:instrText xml:space="preserve"> PAGEREF _Toc214644820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5372EEB8" w14:textId="5F2E4EE8">
          <w:pPr>
            <w:pStyle w:val="TOC2"/>
            <w:tabs>
              <w:tab w:val="left" w:pos="1440"/>
            </w:tabs>
            <w:rPr>
              <w:rFonts w:asciiTheme="minorHAnsi" w:hAnsiTheme="minorHAnsi" w:eastAsiaTheme="minorEastAsia"/>
              <w:noProof/>
              <w:sz w:val="24"/>
              <w:szCs w:val="24"/>
            </w:rPr>
          </w:pPr>
          <w:hyperlink w:history="1" w:anchor="_Toc214644821">
            <w:r w:rsidRPr="009B2599">
              <w:rPr>
                <w:rStyle w:val="Hyperlink"/>
                <w:rFonts w:cs="Arial"/>
                <w:caps/>
                <w:noProof/>
                <w:specVanish/>
              </w:rPr>
              <w:t>10.5</w:t>
            </w:r>
            <w:r>
              <w:rPr>
                <w:rFonts w:asciiTheme="minorHAnsi" w:hAnsiTheme="minorHAnsi" w:eastAsiaTheme="minorEastAsia"/>
                <w:noProof/>
                <w:sz w:val="24"/>
                <w:szCs w:val="24"/>
              </w:rPr>
              <w:tab/>
            </w:r>
            <w:r w:rsidRPr="009B2599">
              <w:rPr>
                <w:rStyle w:val="Hyperlink"/>
                <w:rFonts w:cs="Arial"/>
                <w:noProof/>
              </w:rPr>
              <w:t>Digital or Electronic Signature.</w:t>
            </w:r>
            <w:r>
              <w:rPr>
                <w:noProof/>
                <w:webHidden/>
              </w:rPr>
              <w:tab/>
            </w:r>
            <w:r>
              <w:rPr>
                <w:noProof/>
                <w:webHidden/>
              </w:rPr>
              <w:fldChar w:fldCharType="begin"/>
            </w:r>
            <w:r>
              <w:rPr>
                <w:noProof/>
                <w:webHidden/>
              </w:rPr>
              <w:instrText xml:space="preserve"> PAGEREF _Toc214644821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7B3CEF91" w14:textId="2C4CBDB5">
          <w:pPr>
            <w:pStyle w:val="TOC2"/>
            <w:tabs>
              <w:tab w:val="left" w:pos="1440"/>
            </w:tabs>
            <w:rPr>
              <w:rFonts w:asciiTheme="minorHAnsi" w:hAnsiTheme="minorHAnsi" w:eastAsiaTheme="minorEastAsia"/>
              <w:noProof/>
              <w:sz w:val="24"/>
              <w:szCs w:val="24"/>
            </w:rPr>
          </w:pPr>
          <w:hyperlink w:history="1" w:anchor="_Toc214644822">
            <w:r w:rsidRPr="009B2599">
              <w:rPr>
                <w:rStyle w:val="Hyperlink"/>
                <w:rFonts w:cs="Arial"/>
                <w:caps/>
                <w:noProof/>
                <w:specVanish/>
              </w:rPr>
              <w:t>10.6</w:t>
            </w:r>
            <w:r>
              <w:rPr>
                <w:rFonts w:asciiTheme="minorHAnsi" w:hAnsiTheme="minorHAnsi" w:eastAsiaTheme="minorEastAsia"/>
                <w:noProof/>
                <w:sz w:val="24"/>
                <w:szCs w:val="24"/>
              </w:rPr>
              <w:tab/>
            </w:r>
            <w:r w:rsidRPr="009B2599">
              <w:rPr>
                <w:rStyle w:val="Hyperlink"/>
                <w:rFonts w:cs="Arial"/>
                <w:noProof/>
              </w:rPr>
              <w:t>Counterparts.</w:t>
            </w:r>
            <w:r>
              <w:rPr>
                <w:noProof/>
                <w:webHidden/>
              </w:rPr>
              <w:tab/>
            </w:r>
            <w:r>
              <w:rPr>
                <w:noProof/>
                <w:webHidden/>
              </w:rPr>
              <w:fldChar w:fldCharType="begin"/>
            </w:r>
            <w:r>
              <w:rPr>
                <w:noProof/>
                <w:webHidden/>
              </w:rPr>
              <w:instrText xml:space="preserve"> PAGEREF _Toc214644822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6BBF8F00" w14:textId="58BF0608">
          <w:pPr>
            <w:pStyle w:val="TOC2"/>
            <w:tabs>
              <w:tab w:val="left" w:pos="1440"/>
            </w:tabs>
            <w:rPr>
              <w:rFonts w:asciiTheme="minorHAnsi" w:hAnsiTheme="minorHAnsi" w:eastAsiaTheme="minorEastAsia"/>
              <w:noProof/>
              <w:sz w:val="24"/>
              <w:szCs w:val="24"/>
            </w:rPr>
          </w:pPr>
          <w:hyperlink w:history="1" w:anchor="_Toc214644823">
            <w:r w:rsidRPr="009B2599">
              <w:rPr>
                <w:rStyle w:val="Hyperlink"/>
                <w:rFonts w:cs="Arial"/>
                <w:caps/>
                <w:noProof/>
                <w:specVanish/>
              </w:rPr>
              <w:t>10.7</w:t>
            </w:r>
            <w:r>
              <w:rPr>
                <w:rFonts w:asciiTheme="minorHAnsi" w:hAnsiTheme="minorHAnsi" w:eastAsiaTheme="minorEastAsia"/>
                <w:noProof/>
                <w:sz w:val="24"/>
                <w:szCs w:val="24"/>
              </w:rPr>
              <w:tab/>
            </w:r>
            <w:r w:rsidRPr="009B2599">
              <w:rPr>
                <w:rStyle w:val="Hyperlink"/>
                <w:rFonts w:cs="Arial"/>
                <w:noProof/>
              </w:rPr>
              <w:t>Entire Agreement; No Third-Party Beneficiaries.</w:t>
            </w:r>
            <w:r>
              <w:rPr>
                <w:noProof/>
                <w:webHidden/>
              </w:rPr>
              <w:tab/>
            </w:r>
            <w:r>
              <w:rPr>
                <w:noProof/>
                <w:webHidden/>
              </w:rPr>
              <w:fldChar w:fldCharType="begin"/>
            </w:r>
            <w:r>
              <w:rPr>
                <w:noProof/>
                <w:webHidden/>
              </w:rPr>
              <w:instrText xml:space="preserve"> PAGEREF _Toc214644823 \h </w:instrText>
            </w:r>
            <w:r>
              <w:rPr>
                <w:noProof/>
                <w:webHidden/>
              </w:rPr>
            </w:r>
            <w:r>
              <w:rPr>
                <w:noProof/>
                <w:webHidden/>
              </w:rPr>
              <w:fldChar w:fldCharType="separate"/>
            </w:r>
            <w:r>
              <w:rPr>
                <w:noProof/>
                <w:webHidden/>
              </w:rPr>
              <w:t>55</w:t>
            </w:r>
            <w:r>
              <w:rPr>
                <w:noProof/>
                <w:webHidden/>
              </w:rPr>
              <w:fldChar w:fldCharType="end"/>
            </w:r>
          </w:hyperlink>
        </w:p>
        <w:p w:rsidR="002B196E" w:rsidRDefault="002B196E" w14:paraId="2EDDE09F" w14:textId="33CECA8F">
          <w:pPr>
            <w:pStyle w:val="TOC2"/>
            <w:tabs>
              <w:tab w:val="left" w:pos="1440"/>
            </w:tabs>
            <w:rPr>
              <w:rFonts w:asciiTheme="minorHAnsi" w:hAnsiTheme="minorHAnsi" w:eastAsiaTheme="minorEastAsia"/>
              <w:noProof/>
              <w:sz w:val="24"/>
              <w:szCs w:val="24"/>
            </w:rPr>
          </w:pPr>
          <w:hyperlink w:history="1" w:anchor="_Toc214644824">
            <w:r w:rsidRPr="009B2599">
              <w:rPr>
                <w:rStyle w:val="Hyperlink"/>
                <w:rFonts w:cs="Arial"/>
                <w:caps/>
                <w:noProof/>
                <w:specVanish/>
              </w:rPr>
              <w:t>10.8</w:t>
            </w:r>
            <w:r>
              <w:rPr>
                <w:rFonts w:asciiTheme="minorHAnsi" w:hAnsiTheme="minorHAnsi" w:eastAsiaTheme="minorEastAsia"/>
                <w:noProof/>
                <w:sz w:val="24"/>
                <w:szCs w:val="24"/>
              </w:rPr>
              <w:tab/>
            </w:r>
            <w:r w:rsidRPr="009B2599">
              <w:rPr>
                <w:rStyle w:val="Hyperlink"/>
                <w:noProof/>
              </w:rPr>
              <w:t>Dispute Resolution; Governing Law.</w:t>
            </w:r>
            <w:r>
              <w:rPr>
                <w:noProof/>
                <w:webHidden/>
              </w:rPr>
              <w:tab/>
            </w:r>
            <w:r>
              <w:rPr>
                <w:noProof/>
                <w:webHidden/>
              </w:rPr>
              <w:fldChar w:fldCharType="begin"/>
            </w:r>
            <w:r>
              <w:rPr>
                <w:noProof/>
                <w:webHidden/>
              </w:rPr>
              <w:instrText xml:space="preserve"> PAGEREF _Toc214644824 \h </w:instrText>
            </w:r>
            <w:r>
              <w:rPr>
                <w:noProof/>
                <w:webHidden/>
              </w:rPr>
            </w:r>
            <w:r>
              <w:rPr>
                <w:noProof/>
                <w:webHidden/>
              </w:rPr>
              <w:fldChar w:fldCharType="separate"/>
            </w:r>
            <w:r>
              <w:rPr>
                <w:noProof/>
                <w:webHidden/>
              </w:rPr>
              <w:t>56</w:t>
            </w:r>
            <w:r>
              <w:rPr>
                <w:noProof/>
                <w:webHidden/>
              </w:rPr>
              <w:fldChar w:fldCharType="end"/>
            </w:r>
          </w:hyperlink>
        </w:p>
        <w:p w:rsidR="002B196E" w:rsidRDefault="002B196E" w14:paraId="10FF03B7" w14:textId="1CE96D93">
          <w:pPr>
            <w:pStyle w:val="TOC2"/>
            <w:tabs>
              <w:tab w:val="left" w:pos="1440"/>
            </w:tabs>
            <w:rPr>
              <w:rFonts w:asciiTheme="minorHAnsi" w:hAnsiTheme="minorHAnsi" w:eastAsiaTheme="minorEastAsia"/>
              <w:noProof/>
              <w:sz w:val="24"/>
              <w:szCs w:val="24"/>
            </w:rPr>
          </w:pPr>
          <w:hyperlink w:history="1" w:anchor="_Toc214644825">
            <w:r w:rsidRPr="009B2599">
              <w:rPr>
                <w:rStyle w:val="Hyperlink"/>
                <w:rFonts w:cs="Arial"/>
                <w:caps/>
                <w:noProof/>
                <w:specVanish/>
              </w:rPr>
              <w:t>10.9</w:t>
            </w:r>
            <w:r>
              <w:rPr>
                <w:rFonts w:asciiTheme="minorHAnsi" w:hAnsiTheme="minorHAnsi" w:eastAsiaTheme="minorEastAsia"/>
                <w:noProof/>
                <w:sz w:val="24"/>
                <w:szCs w:val="24"/>
              </w:rPr>
              <w:tab/>
            </w:r>
            <w:r w:rsidRPr="009B2599">
              <w:rPr>
                <w:rStyle w:val="Hyperlink"/>
                <w:rFonts w:cs="Arial"/>
                <w:noProof/>
              </w:rPr>
              <w:t>Consent to Jurisdiction.</w:t>
            </w:r>
            <w:r>
              <w:rPr>
                <w:noProof/>
                <w:webHidden/>
              </w:rPr>
              <w:tab/>
            </w:r>
            <w:r>
              <w:rPr>
                <w:noProof/>
                <w:webHidden/>
              </w:rPr>
              <w:fldChar w:fldCharType="begin"/>
            </w:r>
            <w:r>
              <w:rPr>
                <w:noProof/>
                <w:webHidden/>
              </w:rPr>
              <w:instrText xml:space="preserve"> PAGEREF _Toc214644825 \h </w:instrText>
            </w:r>
            <w:r>
              <w:rPr>
                <w:noProof/>
                <w:webHidden/>
              </w:rPr>
            </w:r>
            <w:r>
              <w:rPr>
                <w:noProof/>
                <w:webHidden/>
              </w:rPr>
              <w:fldChar w:fldCharType="separate"/>
            </w:r>
            <w:r>
              <w:rPr>
                <w:noProof/>
                <w:webHidden/>
              </w:rPr>
              <w:t>56</w:t>
            </w:r>
            <w:r>
              <w:rPr>
                <w:noProof/>
                <w:webHidden/>
              </w:rPr>
              <w:fldChar w:fldCharType="end"/>
            </w:r>
          </w:hyperlink>
        </w:p>
        <w:p w:rsidR="002B196E" w:rsidRDefault="002B196E" w14:paraId="223E2FB1" w14:textId="79E87341">
          <w:pPr>
            <w:pStyle w:val="TOC2"/>
            <w:tabs>
              <w:tab w:val="left" w:pos="1540"/>
            </w:tabs>
            <w:rPr>
              <w:rFonts w:asciiTheme="minorHAnsi" w:hAnsiTheme="minorHAnsi" w:eastAsiaTheme="minorEastAsia"/>
              <w:noProof/>
              <w:sz w:val="24"/>
              <w:szCs w:val="24"/>
            </w:rPr>
          </w:pPr>
          <w:hyperlink w:history="1" w:anchor="_Toc214644826">
            <w:r w:rsidRPr="009B2599">
              <w:rPr>
                <w:rStyle w:val="Hyperlink"/>
                <w:rFonts w:cs="Arial"/>
                <w:caps/>
                <w:noProof/>
                <w:specVanish/>
              </w:rPr>
              <w:t>10.10</w:t>
            </w:r>
            <w:r>
              <w:rPr>
                <w:rFonts w:asciiTheme="minorHAnsi" w:hAnsiTheme="minorHAnsi" w:eastAsiaTheme="minorEastAsia"/>
                <w:noProof/>
                <w:sz w:val="24"/>
                <w:szCs w:val="24"/>
              </w:rPr>
              <w:tab/>
            </w:r>
            <w:r w:rsidRPr="009B2599">
              <w:rPr>
                <w:rStyle w:val="Hyperlink"/>
                <w:rFonts w:cs="Arial"/>
                <w:noProof/>
              </w:rPr>
              <w:t>Headings.</w:t>
            </w:r>
            <w:r>
              <w:rPr>
                <w:noProof/>
                <w:webHidden/>
              </w:rPr>
              <w:tab/>
            </w:r>
            <w:r>
              <w:rPr>
                <w:noProof/>
                <w:webHidden/>
              </w:rPr>
              <w:fldChar w:fldCharType="begin"/>
            </w:r>
            <w:r>
              <w:rPr>
                <w:noProof/>
                <w:webHidden/>
              </w:rPr>
              <w:instrText xml:space="preserve"> PAGEREF _Toc214644826 \h </w:instrText>
            </w:r>
            <w:r>
              <w:rPr>
                <w:noProof/>
                <w:webHidden/>
              </w:rPr>
            </w:r>
            <w:r>
              <w:rPr>
                <w:noProof/>
                <w:webHidden/>
              </w:rPr>
              <w:fldChar w:fldCharType="separate"/>
            </w:r>
            <w:r>
              <w:rPr>
                <w:noProof/>
                <w:webHidden/>
              </w:rPr>
              <w:t>56</w:t>
            </w:r>
            <w:r>
              <w:rPr>
                <w:noProof/>
                <w:webHidden/>
              </w:rPr>
              <w:fldChar w:fldCharType="end"/>
            </w:r>
          </w:hyperlink>
        </w:p>
        <w:p w:rsidR="002B196E" w:rsidRDefault="002B196E" w14:paraId="46B85338" w14:textId="702BC29B">
          <w:pPr>
            <w:pStyle w:val="TOC2"/>
            <w:tabs>
              <w:tab w:val="left" w:pos="1540"/>
            </w:tabs>
            <w:rPr>
              <w:rFonts w:asciiTheme="minorHAnsi" w:hAnsiTheme="minorHAnsi" w:eastAsiaTheme="minorEastAsia"/>
              <w:noProof/>
              <w:sz w:val="24"/>
              <w:szCs w:val="24"/>
            </w:rPr>
          </w:pPr>
          <w:hyperlink w:history="1" w:anchor="_Toc214644827">
            <w:r w:rsidRPr="009B2599">
              <w:rPr>
                <w:rStyle w:val="Hyperlink"/>
                <w:rFonts w:cs="Arial"/>
                <w:caps/>
                <w:noProof/>
                <w:specVanish/>
              </w:rPr>
              <w:t>10.11</w:t>
            </w:r>
            <w:r>
              <w:rPr>
                <w:rFonts w:asciiTheme="minorHAnsi" w:hAnsiTheme="minorHAnsi" w:eastAsiaTheme="minorEastAsia"/>
                <w:noProof/>
                <w:sz w:val="24"/>
                <w:szCs w:val="24"/>
              </w:rPr>
              <w:tab/>
            </w:r>
            <w:r w:rsidRPr="009B2599">
              <w:rPr>
                <w:rStyle w:val="Hyperlink"/>
                <w:rFonts w:cs="Arial"/>
                <w:noProof/>
              </w:rPr>
              <w:t>Contract Interpretation.</w:t>
            </w:r>
            <w:r>
              <w:rPr>
                <w:noProof/>
                <w:webHidden/>
              </w:rPr>
              <w:tab/>
            </w:r>
            <w:r>
              <w:rPr>
                <w:noProof/>
                <w:webHidden/>
              </w:rPr>
              <w:fldChar w:fldCharType="begin"/>
            </w:r>
            <w:r>
              <w:rPr>
                <w:noProof/>
                <w:webHidden/>
              </w:rPr>
              <w:instrText xml:space="preserve"> PAGEREF _Toc214644827 \h </w:instrText>
            </w:r>
            <w:r>
              <w:rPr>
                <w:noProof/>
                <w:webHidden/>
              </w:rPr>
            </w:r>
            <w:r>
              <w:rPr>
                <w:noProof/>
                <w:webHidden/>
              </w:rPr>
              <w:fldChar w:fldCharType="separate"/>
            </w:r>
            <w:r>
              <w:rPr>
                <w:noProof/>
                <w:webHidden/>
              </w:rPr>
              <w:t>56</w:t>
            </w:r>
            <w:r>
              <w:rPr>
                <w:noProof/>
                <w:webHidden/>
              </w:rPr>
              <w:fldChar w:fldCharType="end"/>
            </w:r>
          </w:hyperlink>
        </w:p>
        <w:p w:rsidR="002B196E" w:rsidRDefault="002B196E" w14:paraId="285D74D8" w14:textId="75868267">
          <w:pPr>
            <w:pStyle w:val="TOC2"/>
            <w:tabs>
              <w:tab w:val="left" w:pos="1540"/>
            </w:tabs>
            <w:rPr>
              <w:rFonts w:asciiTheme="minorHAnsi" w:hAnsiTheme="minorHAnsi" w:eastAsiaTheme="minorEastAsia"/>
              <w:noProof/>
              <w:sz w:val="24"/>
              <w:szCs w:val="24"/>
            </w:rPr>
          </w:pPr>
          <w:hyperlink w:history="1" w:anchor="_Toc214644828">
            <w:r w:rsidRPr="009B2599">
              <w:rPr>
                <w:rStyle w:val="Hyperlink"/>
                <w:rFonts w:cs="Arial"/>
                <w:caps/>
                <w:noProof/>
                <w:specVanish/>
              </w:rPr>
              <w:t>10.12</w:t>
            </w:r>
            <w:r>
              <w:rPr>
                <w:rFonts w:asciiTheme="minorHAnsi" w:hAnsiTheme="minorHAnsi" w:eastAsiaTheme="minorEastAsia"/>
                <w:noProof/>
                <w:sz w:val="24"/>
                <w:szCs w:val="24"/>
              </w:rPr>
              <w:tab/>
            </w:r>
            <w:r w:rsidRPr="009B2599">
              <w:rPr>
                <w:rStyle w:val="Hyperlink"/>
                <w:rFonts w:cs="Arial"/>
                <w:noProof/>
              </w:rPr>
              <w:t>Amendments and Waivers; Consents.</w:t>
            </w:r>
            <w:r>
              <w:rPr>
                <w:noProof/>
                <w:webHidden/>
              </w:rPr>
              <w:tab/>
            </w:r>
            <w:r>
              <w:rPr>
                <w:noProof/>
                <w:webHidden/>
              </w:rPr>
              <w:fldChar w:fldCharType="begin"/>
            </w:r>
            <w:r>
              <w:rPr>
                <w:noProof/>
                <w:webHidden/>
              </w:rPr>
              <w:instrText xml:space="preserve"> PAGEREF _Toc214644828 \h </w:instrText>
            </w:r>
            <w:r>
              <w:rPr>
                <w:noProof/>
                <w:webHidden/>
              </w:rPr>
            </w:r>
            <w:r>
              <w:rPr>
                <w:noProof/>
                <w:webHidden/>
              </w:rPr>
              <w:fldChar w:fldCharType="separate"/>
            </w:r>
            <w:r>
              <w:rPr>
                <w:noProof/>
                <w:webHidden/>
              </w:rPr>
              <w:t>57</w:t>
            </w:r>
            <w:r>
              <w:rPr>
                <w:noProof/>
                <w:webHidden/>
              </w:rPr>
              <w:fldChar w:fldCharType="end"/>
            </w:r>
          </w:hyperlink>
        </w:p>
        <w:p w:rsidR="002B196E" w:rsidRDefault="002B196E" w14:paraId="245852B8" w14:textId="3C8F4CDB">
          <w:pPr>
            <w:pStyle w:val="TOC2"/>
            <w:tabs>
              <w:tab w:val="left" w:pos="1540"/>
            </w:tabs>
            <w:rPr>
              <w:rFonts w:asciiTheme="minorHAnsi" w:hAnsiTheme="minorHAnsi" w:eastAsiaTheme="minorEastAsia"/>
              <w:noProof/>
              <w:sz w:val="24"/>
              <w:szCs w:val="24"/>
            </w:rPr>
          </w:pPr>
          <w:hyperlink w:history="1" w:anchor="_Toc214644829">
            <w:r w:rsidRPr="009B2599">
              <w:rPr>
                <w:rStyle w:val="Hyperlink"/>
                <w:rFonts w:cs="Arial"/>
                <w:caps/>
                <w:noProof/>
                <w:specVanish/>
              </w:rPr>
              <w:t>10.13</w:t>
            </w:r>
            <w:r>
              <w:rPr>
                <w:rFonts w:asciiTheme="minorHAnsi" w:hAnsiTheme="minorHAnsi" w:eastAsiaTheme="minorEastAsia"/>
                <w:noProof/>
                <w:sz w:val="24"/>
                <w:szCs w:val="24"/>
              </w:rPr>
              <w:tab/>
            </w:r>
            <w:r w:rsidRPr="009B2599">
              <w:rPr>
                <w:rStyle w:val="Hyperlink"/>
                <w:rFonts w:cs="Arial"/>
                <w:noProof/>
              </w:rPr>
              <w:t>Exhibits and Schedules.</w:t>
            </w:r>
            <w:r>
              <w:rPr>
                <w:noProof/>
                <w:webHidden/>
              </w:rPr>
              <w:tab/>
            </w:r>
            <w:r>
              <w:rPr>
                <w:noProof/>
                <w:webHidden/>
              </w:rPr>
              <w:fldChar w:fldCharType="begin"/>
            </w:r>
            <w:r>
              <w:rPr>
                <w:noProof/>
                <w:webHidden/>
              </w:rPr>
              <w:instrText xml:space="preserve"> PAGEREF _Toc214644829 \h </w:instrText>
            </w:r>
            <w:r>
              <w:rPr>
                <w:noProof/>
                <w:webHidden/>
              </w:rPr>
            </w:r>
            <w:r>
              <w:rPr>
                <w:noProof/>
                <w:webHidden/>
              </w:rPr>
              <w:fldChar w:fldCharType="separate"/>
            </w:r>
            <w:r>
              <w:rPr>
                <w:noProof/>
                <w:webHidden/>
              </w:rPr>
              <w:t>57</w:t>
            </w:r>
            <w:r>
              <w:rPr>
                <w:noProof/>
                <w:webHidden/>
              </w:rPr>
              <w:fldChar w:fldCharType="end"/>
            </w:r>
          </w:hyperlink>
        </w:p>
        <w:p w:rsidR="002B196E" w:rsidRDefault="002B196E" w14:paraId="6B6A24EC" w14:textId="4CA891C1">
          <w:pPr>
            <w:pStyle w:val="TOC2"/>
            <w:tabs>
              <w:tab w:val="left" w:pos="1540"/>
            </w:tabs>
            <w:rPr>
              <w:rFonts w:asciiTheme="minorHAnsi" w:hAnsiTheme="minorHAnsi" w:eastAsiaTheme="minorEastAsia"/>
              <w:noProof/>
              <w:sz w:val="24"/>
              <w:szCs w:val="24"/>
            </w:rPr>
          </w:pPr>
          <w:hyperlink w:history="1" w:anchor="_Toc214644830">
            <w:r w:rsidRPr="009B2599">
              <w:rPr>
                <w:rStyle w:val="Hyperlink"/>
                <w:rFonts w:cs="Arial"/>
                <w:caps/>
                <w:noProof/>
                <w:specVanish/>
              </w:rPr>
              <w:t>10.14</w:t>
            </w:r>
            <w:r>
              <w:rPr>
                <w:rFonts w:asciiTheme="minorHAnsi" w:hAnsiTheme="minorHAnsi" w:eastAsiaTheme="minorEastAsia"/>
                <w:noProof/>
                <w:sz w:val="24"/>
                <w:szCs w:val="24"/>
              </w:rPr>
              <w:tab/>
            </w:r>
            <w:r w:rsidRPr="009B2599">
              <w:rPr>
                <w:rStyle w:val="Hyperlink"/>
                <w:rFonts w:cs="Arial"/>
                <w:noProof/>
              </w:rPr>
              <w:t>Relationship of the Parties.</w:t>
            </w:r>
            <w:r>
              <w:rPr>
                <w:noProof/>
                <w:webHidden/>
              </w:rPr>
              <w:tab/>
            </w:r>
            <w:r>
              <w:rPr>
                <w:noProof/>
                <w:webHidden/>
              </w:rPr>
              <w:fldChar w:fldCharType="begin"/>
            </w:r>
            <w:r>
              <w:rPr>
                <w:noProof/>
                <w:webHidden/>
              </w:rPr>
              <w:instrText xml:space="preserve"> PAGEREF _Toc214644830 \h </w:instrText>
            </w:r>
            <w:r>
              <w:rPr>
                <w:noProof/>
                <w:webHidden/>
              </w:rPr>
            </w:r>
            <w:r>
              <w:rPr>
                <w:noProof/>
                <w:webHidden/>
              </w:rPr>
              <w:fldChar w:fldCharType="separate"/>
            </w:r>
            <w:r>
              <w:rPr>
                <w:noProof/>
                <w:webHidden/>
              </w:rPr>
              <w:t>57</w:t>
            </w:r>
            <w:r>
              <w:rPr>
                <w:noProof/>
                <w:webHidden/>
              </w:rPr>
              <w:fldChar w:fldCharType="end"/>
            </w:r>
          </w:hyperlink>
        </w:p>
        <w:p w:rsidR="002B196E" w:rsidRDefault="002B196E" w14:paraId="621767E5" w14:textId="7EE32DBB">
          <w:pPr>
            <w:pStyle w:val="TOC2"/>
            <w:tabs>
              <w:tab w:val="left" w:pos="1540"/>
            </w:tabs>
            <w:rPr>
              <w:rFonts w:asciiTheme="minorHAnsi" w:hAnsiTheme="minorHAnsi" w:eastAsiaTheme="minorEastAsia"/>
              <w:noProof/>
              <w:sz w:val="24"/>
              <w:szCs w:val="24"/>
            </w:rPr>
          </w:pPr>
          <w:hyperlink w:history="1" w:anchor="_Toc214644831">
            <w:r w:rsidRPr="009B2599">
              <w:rPr>
                <w:rStyle w:val="Hyperlink"/>
                <w:rFonts w:cs="Arial"/>
                <w:caps/>
                <w:noProof/>
                <w:specVanish/>
              </w:rPr>
              <w:t>10.15</w:t>
            </w:r>
            <w:r>
              <w:rPr>
                <w:rFonts w:asciiTheme="minorHAnsi" w:hAnsiTheme="minorHAnsi" w:eastAsiaTheme="minorEastAsia"/>
                <w:noProof/>
                <w:sz w:val="24"/>
                <w:szCs w:val="24"/>
              </w:rPr>
              <w:tab/>
            </w:r>
            <w:r w:rsidRPr="009B2599">
              <w:rPr>
                <w:rStyle w:val="Hyperlink"/>
                <w:bCs/>
                <w:noProof/>
              </w:rPr>
              <w:t>Reliance on Representations and Warranties.</w:t>
            </w:r>
            <w:r>
              <w:rPr>
                <w:noProof/>
                <w:webHidden/>
              </w:rPr>
              <w:tab/>
            </w:r>
            <w:r>
              <w:rPr>
                <w:noProof/>
                <w:webHidden/>
              </w:rPr>
              <w:fldChar w:fldCharType="begin"/>
            </w:r>
            <w:r>
              <w:rPr>
                <w:noProof/>
                <w:webHidden/>
              </w:rPr>
              <w:instrText xml:space="preserve"> PAGEREF _Toc214644831 \h </w:instrText>
            </w:r>
            <w:r>
              <w:rPr>
                <w:noProof/>
                <w:webHidden/>
              </w:rPr>
            </w:r>
            <w:r>
              <w:rPr>
                <w:noProof/>
                <w:webHidden/>
              </w:rPr>
              <w:fldChar w:fldCharType="separate"/>
            </w:r>
            <w:r>
              <w:rPr>
                <w:noProof/>
                <w:webHidden/>
              </w:rPr>
              <w:t>57</w:t>
            </w:r>
            <w:r>
              <w:rPr>
                <w:noProof/>
                <w:webHidden/>
              </w:rPr>
              <w:fldChar w:fldCharType="end"/>
            </w:r>
          </w:hyperlink>
        </w:p>
        <w:p w:rsidR="002B196E" w:rsidRDefault="002B196E" w14:paraId="36F9A744" w14:textId="7C718814">
          <w:pPr>
            <w:pStyle w:val="TOC1"/>
            <w:rPr>
              <w:rFonts w:asciiTheme="minorHAnsi" w:hAnsiTheme="minorHAnsi" w:eastAsiaTheme="minorEastAsia"/>
              <w:b w:val="0"/>
              <w:caps w:val="0"/>
              <w:noProof/>
              <w:sz w:val="24"/>
              <w:szCs w:val="24"/>
            </w:rPr>
          </w:pPr>
          <w:hyperlink w:history="1" w:anchor="_Toc214644832">
            <w:r w:rsidRPr="009B2599">
              <w:rPr>
                <w:rStyle w:val="Hyperlink"/>
                <w:rFonts w:eastAsia="Calibri"/>
                <w:noProof/>
              </w:rPr>
              <w:t>Exhibit A-1 – Facility Information and Additional Details</w:t>
            </w:r>
            <w:r>
              <w:rPr>
                <w:noProof/>
                <w:webHidden/>
              </w:rPr>
              <w:tab/>
            </w:r>
            <w:r>
              <w:rPr>
                <w:noProof/>
                <w:webHidden/>
              </w:rPr>
              <w:fldChar w:fldCharType="begin"/>
            </w:r>
            <w:r>
              <w:rPr>
                <w:noProof/>
                <w:webHidden/>
              </w:rPr>
              <w:instrText xml:space="preserve"> PAGEREF _Toc214644832 \h </w:instrText>
            </w:r>
            <w:r>
              <w:rPr>
                <w:noProof/>
                <w:webHidden/>
              </w:rPr>
            </w:r>
            <w:r>
              <w:rPr>
                <w:noProof/>
                <w:webHidden/>
              </w:rPr>
              <w:fldChar w:fldCharType="separate"/>
            </w:r>
            <w:r>
              <w:rPr>
                <w:noProof/>
                <w:webHidden/>
              </w:rPr>
              <w:t>59</w:t>
            </w:r>
            <w:r>
              <w:rPr>
                <w:noProof/>
                <w:webHidden/>
              </w:rPr>
              <w:fldChar w:fldCharType="end"/>
            </w:r>
          </w:hyperlink>
        </w:p>
        <w:p w:rsidR="002B196E" w:rsidRDefault="002B196E" w14:paraId="2292A4D6" w14:textId="4CB64AF7">
          <w:pPr>
            <w:pStyle w:val="TOC1"/>
            <w:rPr>
              <w:rFonts w:asciiTheme="minorHAnsi" w:hAnsiTheme="minorHAnsi" w:eastAsiaTheme="minorEastAsia"/>
              <w:b w:val="0"/>
              <w:caps w:val="0"/>
              <w:noProof/>
              <w:sz w:val="24"/>
              <w:szCs w:val="24"/>
            </w:rPr>
          </w:pPr>
          <w:hyperlink w:history="1" w:anchor="_Toc214644833">
            <w:r w:rsidRPr="009B2599">
              <w:rPr>
                <w:rStyle w:val="Hyperlink"/>
                <w:noProof/>
              </w:rPr>
              <w:t>Exhibit A-2 – Notice Contacts</w:t>
            </w:r>
            <w:r>
              <w:rPr>
                <w:noProof/>
                <w:webHidden/>
              </w:rPr>
              <w:tab/>
            </w:r>
            <w:r>
              <w:rPr>
                <w:noProof/>
                <w:webHidden/>
              </w:rPr>
              <w:fldChar w:fldCharType="begin"/>
            </w:r>
            <w:r>
              <w:rPr>
                <w:noProof/>
                <w:webHidden/>
              </w:rPr>
              <w:instrText xml:space="preserve"> PAGEREF _Toc214644833 \h </w:instrText>
            </w:r>
            <w:r>
              <w:rPr>
                <w:noProof/>
                <w:webHidden/>
              </w:rPr>
            </w:r>
            <w:r>
              <w:rPr>
                <w:noProof/>
                <w:webHidden/>
              </w:rPr>
              <w:fldChar w:fldCharType="separate"/>
            </w:r>
            <w:r>
              <w:rPr>
                <w:noProof/>
                <w:webHidden/>
              </w:rPr>
              <w:t>63</w:t>
            </w:r>
            <w:r>
              <w:rPr>
                <w:noProof/>
                <w:webHidden/>
              </w:rPr>
              <w:fldChar w:fldCharType="end"/>
            </w:r>
          </w:hyperlink>
        </w:p>
        <w:p w:rsidR="002B196E" w:rsidRDefault="002B196E" w14:paraId="6ECA6401" w14:textId="66BC4DA2">
          <w:pPr>
            <w:pStyle w:val="TOC1"/>
            <w:rPr>
              <w:rFonts w:asciiTheme="minorHAnsi" w:hAnsiTheme="minorHAnsi" w:eastAsiaTheme="minorEastAsia"/>
              <w:b w:val="0"/>
              <w:caps w:val="0"/>
              <w:noProof/>
              <w:sz w:val="24"/>
              <w:szCs w:val="24"/>
            </w:rPr>
          </w:pPr>
          <w:hyperlink w:history="1" w:anchor="_Toc214644834">
            <w:r w:rsidRPr="009B2599">
              <w:rPr>
                <w:rStyle w:val="Hyperlink"/>
                <w:rFonts w:eastAsia="Calibri" w:cs="Arial"/>
                <w:noProof/>
              </w:rPr>
              <w:t>Exhibit B – Form of Standby Letter of Credit</w:t>
            </w:r>
            <w:r>
              <w:rPr>
                <w:noProof/>
                <w:webHidden/>
              </w:rPr>
              <w:tab/>
            </w:r>
            <w:r>
              <w:rPr>
                <w:noProof/>
                <w:webHidden/>
              </w:rPr>
              <w:fldChar w:fldCharType="begin"/>
            </w:r>
            <w:r>
              <w:rPr>
                <w:noProof/>
                <w:webHidden/>
              </w:rPr>
              <w:instrText xml:space="preserve"> PAGEREF _Toc214644834 \h </w:instrText>
            </w:r>
            <w:r>
              <w:rPr>
                <w:noProof/>
                <w:webHidden/>
              </w:rPr>
            </w:r>
            <w:r>
              <w:rPr>
                <w:noProof/>
                <w:webHidden/>
              </w:rPr>
              <w:fldChar w:fldCharType="separate"/>
            </w:r>
            <w:r>
              <w:rPr>
                <w:noProof/>
                <w:webHidden/>
              </w:rPr>
              <w:t>64</w:t>
            </w:r>
            <w:r>
              <w:rPr>
                <w:noProof/>
                <w:webHidden/>
              </w:rPr>
              <w:fldChar w:fldCharType="end"/>
            </w:r>
          </w:hyperlink>
        </w:p>
        <w:p w:rsidR="002B196E" w:rsidRDefault="002B196E" w14:paraId="656B7864" w14:textId="210913F1">
          <w:pPr>
            <w:pStyle w:val="TOC1"/>
            <w:rPr>
              <w:rFonts w:asciiTheme="minorHAnsi" w:hAnsiTheme="minorHAnsi" w:eastAsiaTheme="minorEastAsia"/>
              <w:b w:val="0"/>
              <w:caps w:val="0"/>
              <w:noProof/>
              <w:sz w:val="24"/>
              <w:szCs w:val="24"/>
            </w:rPr>
          </w:pPr>
          <w:hyperlink w:history="1" w:anchor="_Toc214644835">
            <w:r w:rsidRPr="009B2599">
              <w:rPr>
                <w:rStyle w:val="Hyperlink"/>
                <w:rFonts w:eastAsia="Calibri" w:cs="Arial"/>
                <w:noProof/>
              </w:rPr>
              <w:t>Exhibit C – Form of Guaranty</w:t>
            </w:r>
            <w:r>
              <w:rPr>
                <w:noProof/>
                <w:webHidden/>
              </w:rPr>
              <w:tab/>
            </w:r>
            <w:r>
              <w:rPr>
                <w:noProof/>
                <w:webHidden/>
              </w:rPr>
              <w:fldChar w:fldCharType="begin"/>
            </w:r>
            <w:r>
              <w:rPr>
                <w:noProof/>
                <w:webHidden/>
              </w:rPr>
              <w:instrText xml:space="preserve"> PAGEREF _Toc214644835 \h </w:instrText>
            </w:r>
            <w:r>
              <w:rPr>
                <w:noProof/>
                <w:webHidden/>
              </w:rPr>
            </w:r>
            <w:r>
              <w:rPr>
                <w:noProof/>
                <w:webHidden/>
              </w:rPr>
              <w:fldChar w:fldCharType="separate"/>
            </w:r>
            <w:r>
              <w:rPr>
                <w:noProof/>
                <w:webHidden/>
              </w:rPr>
              <w:t>69</w:t>
            </w:r>
            <w:r>
              <w:rPr>
                <w:noProof/>
                <w:webHidden/>
              </w:rPr>
              <w:fldChar w:fldCharType="end"/>
            </w:r>
          </w:hyperlink>
        </w:p>
        <w:p w:rsidR="002B196E" w:rsidRDefault="002B196E" w14:paraId="66F6823F" w14:textId="0E802D7B">
          <w:pPr>
            <w:pStyle w:val="TOC1"/>
            <w:rPr>
              <w:rFonts w:asciiTheme="minorHAnsi" w:hAnsiTheme="minorHAnsi" w:eastAsiaTheme="minorEastAsia"/>
              <w:b w:val="0"/>
              <w:caps w:val="0"/>
              <w:noProof/>
              <w:sz w:val="24"/>
              <w:szCs w:val="24"/>
            </w:rPr>
          </w:pPr>
          <w:hyperlink w:history="1" w:anchor="_Toc214644836">
            <w:r w:rsidRPr="009B2599">
              <w:rPr>
                <w:rStyle w:val="Hyperlink"/>
                <w:rFonts w:cs="Arial"/>
                <w:noProof/>
              </w:rPr>
              <w:t>Exhibit D – Form of Bill of Sale Agreement</w:t>
            </w:r>
            <w:r>
              <w:rPr>
                <w:noProof/>
                <w:webHidden/>
              </w:rPr>
              <w:tab/>
            </w:r>
            <w:r>
              <w:rPr>
                <w:noProof/>
                <w:webHidden/>
              </w:rPr>
              <w:fldChar w:fldCharType="begin"/>
            </w:r>
            <w:r>
              <w:rPr>
                <w:noProof/>
                <w:webHidden/>
              </w:rPr>
              <w:instrText xml:space="preserve"> PAGEREF _Toc214644836 \h </w:instrText>
            </w:r>
            <w:r>
              <w:rPr>
                <w:noProof/>
                <w:webHidden/>
              </w:rPr>
            </w:r>
            <w:r>
              <w:rPr>
                <w:noProof/>
                <w:webHidden/>
              </w:rPr>
              <w:fldChar w:fldCharType="separate"/>
            </w:r>
            <w:r>
              <w:rPr>
                <w:noProof/>
                <w:webHidden/>
              </w:rPr>
              <w:t>77</w:t>
            </w:r>
            <w:r>
              <w:rPr>
                <w:noProof/>
                <w:webHidden/>
              </w:rPr>
              <w:fldChar w:fldCharType="end"/>
            </w:r>
          </w:hyperlink>
        </w:p>
        <w:p w:rsidR="002B196E" w:rsidRDefault="002B196E" w14:paraId="19EF96A3" w14:textId="2C2ADB7B">
          <w:pPr>
            <w:pStyle w:val="TOC1"/>
            <w:rPr>
              <w:rFonts w:asciiTheme="minorHAnsi" w:hAnsiTheme="minorHAnsi" w:eastAsiaTheme="minorEastAsia"/>
              <w:b w:val="0"/>
              <w:caps w:val="0"/>
              <w:noProof/>
              <w:sz w:val="24"/>
              <w:szCs w:val="24"/>
            </w:rPr>
          </w:pPr>
          <w:hyperlink w:history="1" w:anchor="_Toc214644837">
            <w:r w:rsidRPr="009B2599">
              <w:rPr>
                <w:rStyle w:val="Hyperlink"/>
                <w:rFonts w:cs="Arial"/>
                <w:noProof/>
              </w:rPr>
              <w:t>Exhibit E – Form of Assignment Agreement</w:t>
            </w:r>
            <w:r>
              <w:rPr>
                <w:noProof/>
                <w:webHidden/>
              </w:rPr>
              <w:tab/>
            </w:r>
            <w:r>
              <w:rPr>
                <w:noProof/>
                <w:webHidden/>
              </w:rPr>
              <w:fldChar w:fldCharType="begin"/>
            </w:r>
            <w:r>
              <w:rPr>
                <w:noProof/>
                <w:webHidden/>
              </w:rPr>
              <w:instrText xml:space="preserve"> PAGEREF _Toc214644837 \h </w:instrText>
            </w:r>
            <w:r>
              <w:rPr>
                <w:noProof/>
                <w:webHidden/>
              </w:rPr>
            </w:r>
            <w:r>
              <w:rPr>
                <w:noProof/>
                <w:webHidden/>
              </w:rPr>
              <w:fldChar w:fldCharType="separate"/>
            </w:r>
            <w:r>
              <w:rPr>
                <w:noProof/>
                <w:webHidden/>
              </w:rPr>
              <w:t>79</w:t>
            </w:r>
            <w:r>
              <w:rPr>
                <w:noProof/>
                <w:webHidden/>
              </w:rPr>
              <w:fldChar w:fldCharType="end"/>
            </w:r>
          </w:hyperlink>
        </w:p>
        <w:p w:rsidR="002B196E" w:rsidRDefault="002B196E" w14:paraId="1772A656" w14:textId="4E441B37">
          <w:pPr>
            <w:pStyle w:val="TOC1"/>
            <w:rPr>
              <w:rFonts w:asciiTheme="minorHAnsi" w:hAnsiTheme="minorHAnsi" w:eastAsiaTheme="minorEastAsia"/>
              <w:b w:val="0"/>
              <w:caps w:val="0"/>
              <w:noProof/>
              <w:sz w:val="24"/>
              <w:szCs w:val="24"/>
            </w:rPr>
          </w:pPr>
          <w:hyperlink w:history="1" w:anchor="_Toc214644838">
            <w:r w:rsidRPr="009B2599">
              <w:rPr>
                <w:rStyle w:val="Hyperlink"/>
                <w:rFonts w:cs="Arial"/>
                <w:noProof/>
              </w:rPr>
              <w:t>Exhibit F – form of lease assignment Consent</w:t>
            </w:r>
            <w:r>
              <w:rPr>
                <w:noProof/>
                <w:webHidden/>
              </w:rPr>
              <w:tab/>
            </w:r>
            <w:r>
              <w:rPr>
                <w:noProof/>
                <w:webHidden/>
              </w:rPr>
              <w:fldChar w:fldCharType="begin"/>
            </w:r>
            <w:r>
              <w:rPr>
                <w:noProof/>
                <w:webHidden/>
              </w:rPr>
              <w:instrText xml:space="preserve"> PAGEREF _Toc214644838 \h </w:instrText>
            </w:r>
            <w:r>
              <w:rPr>
                <w:noProof/>
                <w:webHidden/>
              </w:rPr>
            </w:r>
            <w:r>
              <w:rPr>
                <w:noProof/>
                <w:webHidden/>
              </w:rPr>
              <w:fldChar w:fldCharType="separate"/>
            </w:r>
            <w:r>
              <w:rPr>
                <w:noProof/>
                <w:webHidden/>
              </w:rPr>
              <w:t>81</w:t>
            </w:r>
            <w:r>
              <w:rPr>
                <w:noProof/>
                <w:webHidden/>
              </w:rPr>
              <w:fldChar w:fldCharType="end"/>
            </w:r>
          </w:hyperlink>
        </w:p>
        <w:p w:rsidR="002B196E" w:rsidRDefault="002B196E" w14:paraId="2463F0C9" w14:textId="765F8FAA">
          <w:pPr>
            <w:pStyle w:val="TOC1"/>
            <w:rPr>
              <w:rFonts w:asciiTheme="minorHAnsi" w:hAnsiTheme="minorHAnsi" w:eastAsiaTheme="minorEastAsia"/>
              <w:b w:val="0"/>
              <w:caps w:val="0"/>
              <w:noProof/>
              <w:sz w:val="24"/>
              <w:szCs w:val="24"/>
            </w:rPr>
          </w:pPr>
          <w:hyperlink w:history="1" w:anchor="_Toc214644839">
            <w:r w:rsidRPr="009B2599">
              <w:rPr>
                <w:rStyle w:val="Hyperlink"/>
                <w:rFonts w:cs="Arial"/>
                <w:noProof/>
              </w:rPr>
              <w:t>Exhibit G – Closing Title Endorsements</w:t>
            </w:r>
            <w:r>
              <w:rPr>
                <w:noProof/>
                <w:webHidden/>
              </w:rPr>
              <w:tab/>
            </w:r>
            <w:r>
              <w:rPr>
                <w:noProof/>
                <w:webHidden/>
              </w:rPr>
              <w:fldChar w:fldCharType="begin"/>
            </w:r>
            <w:r>
              <w:rPr>
                <w:noProof/>
                <w:webHidden/>
              </w:rPr>
              <w:instrText xml:space="preserve"> PAGEREF _Toc214644839 \h </w:instrText>
            </w:r>
            <w:r>
              <w:rPr>
                <w:noProof/>
                <w:webHidden/>
              </w:rPr>
            </w:r>
            <w:r>
              <w:rPr>
                <w:noProof/>
                <w:webHidden/>
              </w:rPr>
              <w:fldChar w:fldCharType="separate"/>
            </w:r>
            <w:r>
              <w:rPr>
                <w:noProof/>
                <w:webHidden/>
              </w:rPr>
              <w:t>83</w:t>
            </w:r>
            <w:r>
              <w:rPr>
                <w:noProof/>
                <w:webHidden/>
              </w:rPr>
              <w:fldChar w:fldCharType="end"/>
            </w:r>
          </w:hyperlink>
        </w:p>
        <w:p w:rsidR="002B196E" w:rsidRDefault="002B196E" w14:paraId="291903B2" w14:textId="5B549B5A">
          <w:pPr>
            <w:pStyle w:val="TOC1"/>
            <w:rPr>
              <w:rFonts w:asciiTheme="minorHAnsi" w:hAnsiTheme="minorHAnsi" w:eastAsiaTheme="minorEastAsia"/>
              <w:b w:val="0"/>
              <w:caps w:val="0"/>
              <w:noProof/>
              <w:sz w:val="24"/>
              <w:szCs w:val="24"/>
            </w:rPr>
          </w:pPr>
          <w:hyperlink w:history="1" w:anchor="_Toc214644840">
            <w:r w:rsidRPr="009B2599">
              <w:rPr>
                <w:rStyle w:val="Hyperlink"/>
                <w:noProof/>
              </w:rPr>
              <w:t>Exhibit H – Form of Domestic Content Certificate</w:t>
            </w:r>
            <w:r>
              <w:rPr>
                <w:noProof/>
                <w:webHidden/>
              </w:rPr>
              <w:tab/>
            </w:r>
            <w:r>
              <w:rPr>
                <w:noProof/>
                <w:webHidden/>
              </w:rPr>
              <w:fldChar w:fldCharType="begin"/>
            </w:r>
            <w:r>
              <w:rPr>
                <w:noProof/>
                <w:webHidden/>
              </w:rPr>
              <w:instrText xml:space="preserve"> PAGEREF _Toc214644840 \h </w:instrText>
            </w:r>
            <w:r>
              <w:rPr>
                <w:noProof/>
                <w:webHidden/>
              </w:rPr>
            </w:r>
            <w:r>
              <w:rPr>
                <w:noProof/>
                <w:webHidden/>
              </w:rPr>
              <w:fldChar w:fldCharType="separate"/>
            </w:r>
            <w:r>
              <w:rPr>
                <w:noProof/>
                <w:webHidden/>
              </w:rPr>
              <w:t>84</w:t>
            </w:r>
            <w:r>
              <w:rPr>
                <w:noProof/>
                <w:webHidden/>
              </w:rPr>
              <w:fldChar w:fldCharType="end"/>
            </w:r>
          </w:hyperlink>
        </w:p>
        <w:p w:rsidR="002B196E" w:rsidRDefault="002B196E" w14:paraId="3FAF91BD" w14:textId="31CE36D7">
          <w:pPr>
            <w:pStyle w:val="TOC1"/>
            <w:rPr>
              <w:rFonts w:asciiTheme="minorHAnsi" w:hAnsiTheme="minorHAnsi" w:eastAsiaTheme="minorEastAsia"/>
              <w:b w:val="0"/>
              <w:caps w:val="0"/>
              <w:noProof/>
              <w:sz w:val="24"/>
              <w:szCs w:val="24"/>
            </w:rPr>
          </w:pPr>
          <w:hyperlink w:history="1" w:anchor="_Toc214644841">
            <w:r w:rsidRPr="009B2599">
              <w:rPr>
                <w:rStyle w:val="Hyperlink"/>
                <w:noProof/>
              </w:rPr>
              <w:t>Exhibit I – Closing Date Working Capital Methodology</w:t>
            </w:r>
            <w:r>
              <w:rPr>
                <w:noProof/>
                <w:webHidden/>
              </w:rPr>
              <w:tab/>
            </w:r>
            <w:r>
              <w:rPr>
                <w:noProof/>
                <w:webHidden/>
              </w:rPr>
              <w:fldChar w:fldCharType="begin"/>
            </w:r>
            <w:r>
              <w:rPr>
                <w:noProof/>
                <w:webHidden/>
              </w:rPr>
              <w:instrText xml:space="preserve"> PAGEREF _Toc214644841 \h </w:instrText>
            </w:r>
            <w:r>
              <w:rPr>
                <w:noProof/>
                <w:webHidden/>
              </w:rPr>
            </w:r>
            <w:r>
              <w:rPr>
                <w:noProof/>
                <w:webHidden/>
              </w:rPr>
              <w:fldChar w:fldCharType="separate"/>
            </w:r>
            <w:r>
              <w:rPr>
                <w:noProof/>
                <w:webHidden/>
              </w:rPr>
              <w:t>86</w:t>
            </w:r>
            <w:r>
              <w:rPr>
                <w:noProof/>
                <w:webHidden/>
              </w:rPr>
              <w:fldChar w:fldCharType="end"/>
            </w:r>
          </w:hyperlink>
        </w:p>
        <w:p w:rsidRPr="00D83A7B" w:rsidR="00B574FF" w:rsidP="00B574FF" w:rsidRDefault="00B574FF" w14:paraId="430177BF" w14:textId="4D76E3D7">
          <w:pPr>
            <w:pStyle w:val="TOC1"/>
            <w:rPr>
              <w:rFonts w:ascii="Arial" w:hAnsi="Arial" w:cs="Arial"/>
              <w:sz w:val="20"/>
              <w:szCs w:val="20"/>
            </w:rPr>
          </w:pPr>
          <w:r w:rsidRPr="00D83A7B">
            <w:rPr>
              <w:rFonts w:ascii="Arial" w:hAnsi="Arial" w:cs="Arial"/>
              <w:sz w:val="20"/>
              <w:szCs w:val="20"/>
            </w:rPr>
            <w:fldChar w:fldCharType="end"/>
          </w:r>
        </w:p>
      </w:sdtContent>
    </w:sdt>
    <w:p w:rsidRPr="00D83A7B" w:rsidR="00582880" w:rsidP="00B71D5E" w:rsidRDefault="00582880" w14:paraId="1BE67988" w14:textId="0E5DE132">
      <w:pPr>
        <w:pStyle w:val="zGNormal"/>
        <w:keepNext/>
        <w:keepLines/>
        <w:spacing w:before="60"/>
        <w:rPr>
          <w:b/>
          <w:bCs/>
        </w:rPr>
      </w:pPr>
    </w:p>
    <w:p w:rsidRPr="00D83A7B" w:rsidR="006F61F0" w:rsidP="00B71D5E" w:rsidRDefault="006F61F0" w14:paraId="3D6835A1" w14:textId="77A79B57">
      <w:pPr>
        <w:pStyle w:val="zGNormal"/>
        <w:keepNext/>
        <w:keepLines/>
        <w:spacing w:before="60"/>
        <w:rPr>
          <w:b/>
          <w:bCs/>
        </w:rPr>
      </w:pPr>
      <w:r w:rsidRPr="00D83A7B">
        <w:rPr>
          <w:b/>
          <w:bCs/>
        </w:rPr>
        <w:t>SCHEDULES</w:t>
      </w:r>
      <w:r w:rsidRPr="00D83A7B" w:rsidR="008A2005">
        <w:rPr>
          <w:b/>
          <w:bCs/>
        </w:rPr>
        <w:t xml:space="preserve"> TO APA</w:t>
      </w:r>
      <w:r w:rsidRPr="00D83A7B" w:rsidR="001058B3">
        <w:rPr>
          <w:b/>
          <w:bCs/>
        </w:rPr>
        <w:t xml:space="preserve">: </w:t>
      </w:r>
      <w:r w:rsidRPr="00D83A7B" w:rsidR="00582880">
        <w:rPr>
          <w:b/>
          <w:bCs/>
        </w:rPr>
        <w:t>[</w:t>
      </w:r>
      <w:r w:rsidRPr="00D83A7B" w:rsidR="00582880">
        <w:rPr>
          <w:b/>
          <w:bCs/>
          <w:highlight w:val="yellow"/>
        </w:rPr>
        <w:t>To be completed as part of APA finalization</w:t>
      </w:r>
      <w:r w:rsidRPr="00D83A7B" w:rsidR="00582880">
        <w:rPr>
          <w:b/>
          <w:bCs/>
        </w:rPr>
        <w:t>]</w:t>
      </w:r>
    </w:p>
    <w:p w:rsidRPr="00D83A7B" w:rsidR="006F61F0" w:rsidP="006F61F0" w:rsidRDefault="00752445" w14:paraId="48BD2B98" w14:textId="671C50FF">
      <w:pPr>
        <w:pStyle w:val="zGNormal"/>
        <w:keepNext/>
        <w:keepLines/>
        <w:numPr>
          <w:ilvl w:val="0"/>
          <w:numId w:val="36"/>
        </w:numPr>
        <w:spacing w:before="60"/>
        <w:rPr>
          <w:b/>
          <w:bCs/>
        </w:rPr>
      </w:pPr>
      <w:r w:rsidRPr="00D83A7B">
        <w:rPr>
          <w:b/>
          <w:bCs/>
        </w:rPr>
        <w:t>Schedule 6.1.1: Required Consents</w:t>
      </w:r>
    </w:p>
    <w:p w:rsidRPr="00D83A7B" w:rsidR="00752445" w:rsidP="006F61F0" w:rsidRDefault="00752445" w14:paraId="669E6D14" w14:textId="2321F743">
      <w:pPr>
        <w:pStyle w:val="zGNormal"/>
        <w:keepNext/>
        <w:keepLines/>
        <w:numPr>
          <w:ilvl w:val="0"/>
          <w:numId w:val="36"/>
        </w:numPr>
        <w:spacing w:before="60"/>
        <w:rPr>
          <w:b/>
          <w:bCs/>
        </w:rPr>
      </w:pPr>
      <w:r w:rsidRPr="00D83A7B">
        <w:rPr>
          <w:b/>
          <w:bCs/>
        </w:rPr>
        <w:t>Schedule 6.2.5: Required Facility Permits</w:t>
      </w:r>
    </w:p>
    <w:p w:rsidRPr="00D83A7B" w:rsidR="00873851" w:rsidP="006F61F0" w:rsidRDefault="00873851" w14:paraId="6C6776E6" w14:textId="69178E3E">
      <w:pPr>
        <w:pStyle w:val="zGNormal"/>
        <w:keepNext/>
        <w:keepLines/>
        <w:numPr>
          <w:ilvl w:val="0"/>
          <w:numId w:val="36"/>
        </w:numPr>
        <w:spacing w:before="60"/>
        <w:rPr>
          <w:b/>
          <w:bCs/>
        </w:rPr>
      </w:pPr>
      <w:r w:rsidRPr="00D83A7B">
        <w:rPr>
          <w:b/>
          <w:bCs/>
        </w:rPr>
        <w:t>Schedule 6.2.6: Required Facility Contracts</w:t>
      </w:r>
    </w:p>
    <w:p w:rsidRPr="00D83A7B" w:rsidR="008A2005" w:rsidP="00752445" w:rsidRDefault="008A2005" w14:paraId="12AB977B" w14:textId="77777777">
      <w:pPr>
        <w:pStyle w:val="zGNormal"/>
        <w:keepNext/>
        <w:keepLines/>
        <w:spacing w:before="60"/>
        <w:rPr>
          <w:b/>
          <w:bCs/>
        </w:rPr>
      </w:pPr>
    </w:p>
    <w:p w:rsidRPr="00D83A7B" w:rsidR="008A2005" w:rsidP="008A2005" w:rsidRDefault="008A2005" w14:paraId="1F7818F4" w14:textId="1A63DCB1">
      <w:pPr>
        <w:pStyle w:val="zGNormal"/>
        <w:keepNext/>
        <w:keepLines/>
        <w:spacing w:before="60"/>
        <w:rPr>
          <w:b/>
          <w:bCs/>
        </w:rPr>
      </w:pPr>
      <w:r w:rsidRPr="00D83A7B">
        <w:rPr>
          <w:b/>
          <w:bCs/>
        </w:rPr>
        <w:t>SELLER DISCLOSURE SCHEDULE: [</w:t>
      </w:r>
      <w:r w:rsidRPr="00D83A7B">
        <w:rPr>
          <w:b/>
          <w:bCs/>
          <w:highlight w:val="yellow"/>
        </w:rPr>
        <w:t>To be completed as part of APA finalization</w:t>
      </w:r>
      <w:r w:rsidRPr="00D83A7B">
        <w:rPr>
          <w:b/>
          <w:bCs/>
        </w:rPr>
        <w:t>]</w:t>
      </w:r>
    </w:p>
    <w:p w:rsidR="00752445" w:rsidP="00752445" w:rsidRDefault="00752445" w14:paraId="73A6C3B9" w14:textId="77777777">
      <w:pPr>
        <w:pStyle w:val="zGNormal"/>
        <w:keepNext/>
        <w:keepLines/>
        <w:spacing w:before="60"/>
        <w:rPr>
          <w:b/>
          <w:bCs/>
        </w:rPr>
      </w:pPr>
    </w:p>
    <w:p w:rsidR="00752445" w:rsidP="00752445" w:rsidRDefault="00752445" w14:paraId="26D4A9AD" w14:textId="77777777">
      <w:pPr>
        <w:pStyle w:val="zGNormal"/>
        <w:keepNext/>
        <w:keepLines/>
        <w:spacing w:before="60"/>
        <w:ind w:left="720"/>
        <w:rPr>
          <w:b/>
          <w:bCs/>
        </w:rPr>
      </w:pPr>
    </w:p>
    <w:p w:rsidRPr="00BA7576" w:rsidR="00752445" w:rsidP="00752445" w:rsidRDefault="00752445" w14:paraId="0D5CC8E5" w14:textId="52576E70">
      <w:pPr>
        <w:pStyle w:val="zGNormal"/>
        <w:keepNext/>
        <w:keepLines/>
        <w:spacing w:before="60"/>
        <w:ind w:left="720"/>
        <w:rPr>
          <w:b/>
          <w:bCs/>
        </w:rPr>
        <w:sectPr w:rsidRPr="00BA7576" w:rsidR="00752445" w:rsidSect="00C11AB5">
          <w:headerReference w:type="even" r:id="rId10"/>
          <w:headerReference w:type="default" r:id="rId11"/>
          <w:footerReference w:type="even" r:id="rId12"/>
          <w:headerReference w:type="first" r:id="rId13"/>
          <w:footerReference w:type="first" r:id="rId14"/>
          <w:pgSz w:w="12240" w:h="15840" w:code="1"/>
          <w:pgMar w:top="1080" w:right="1080" w:bottom="936" w:left="1224" w:header="432" w:footer="576" w:gutter="0"/>
          <w:cols w:space="720"/>
          <w:docGrid w:linePitch="360"/>
        </w:sectPr>
      </w:pPr>
    </w:p>
    <w:p w:rsidRPr="00961BFF" w:rsidR="0017596E" w:rsidP="00C8762B" w:rsidRDefault="0017596E" w14:paraId="3B93AC11" w14:textId="77777777">
      <w:pPr>
        <w:pStyle w:val="zGTitleExhibit"/>
        <w:rPr>
          <w:rFonts w:cs="Arial"/>
          <w:b w:val="0"/>
          <w:color w:val="000000" w:themeColor="text1"/>
          <w:szCs w:val="22"/>
        </w:rPr>
      </w:pPr>
      <w:bookmarkStart w:name="_Toc134098069" w:id="1"/>
      <w:bookmarkStart w:name="_Toc134098153" w:id="2"/>
      <w:bookmarkStart w:name="_Toc134098489" w:id="3"/>
      <w:bookmarkStart w:name="_Toc135838157" w:id="4"/>
      <w:bookmarkStart w:name="_Toc181639392" w:id="5"/>
      <w:bookmarkStart w:name="_Toc214644707" w:id="6"/>
      <w:r>
        <w:rPr>
          <w:rFonts w:cs="Arial"/>
          <w:szCs w:val="22"/>
        </w:rPr>
        <w:lastRenderedPageBreak/>
        <w:t>Schedule of Defined Terms</w:t>
      </w:r>
      <w:bookmarkEnd w:id="1"/>
      <w:bookmarkEnd w:id="2"/>
      <w:bookmarkEnd w:id="3"/>
      <w:bookmarkEnd w:id="4"/>
      <w:bookmarkEnd w:id="5"/>
      <w:bookmarkEnd w:id="6"/>
    </w:p>
    <w:p w:rsidRPr="00961BFF" w:rsidR="0017596E" w:rsidP="006063D9" w:rsidRDefault="0017596E" w14:paraId="2B3CEED4" w14:textId="77777777">
      <w:pPr>
        <w:pStyle w:val="zGNormal"/>
        <w:rPr>
          <w:b/>
          <w:bCs/>
        </w:rPr>
      </w:pPr>
      <w:bookmarkStart w:name="_Toc143607299" w:id="7"/>
      <w:r>
        <w:rPr>
          <w:b/>
          <w:bCs/>
        </w:rPr>
        <w:t xml:space="preserve">This APA uses the defined terms identified in this </w:t>
      </w:r>
      <w:r>
        <w:rPr>
          <w:b/>
          <w:bCs/>
          <w:i/>
          <w:iCs/>
        </w:rPr>
        <w:t>Schedule of Defined Terms</w:t>
      </w:r>
      <w:r>
        <w:rPr>
          <w:b/>
          <w:bCs/>
        </w:rPr>
        <w:t xml:space="preserve"> or in the body of this APA and the rules of construction described in Section 10.11 (</w:t>
      </w:r>
      <w:r>
        <w:rPr>
          <w:b/>
          <w:bCs/>
          <w:i/>
          <w:iCs/>
        </w:rPr>
        <w:t>Contract Interpretation</w:t>
      </w:r>
      <w:r>
        <w:rPr>
          <w:b/>
          <w:bCs/>
        </w:rPr>
        <w:t>).</w:t>
      </w:r>
      <w:bookmarkEnd w:id="7"/>
      <w:r>
        <w:rPr>
          <w:b/>
          <w:bCs/>
        </w:rPr>
        <w:t xml:space="preserve"> </w:t>
      </w:r>
    </w:p>
    <w:p w:rsidRPr="001703E6" w:rsidR="006A480A" w:rsidP="004B3704" w:rsidRDefault="006A480A" w14:paraId="5BA30F02" w14:textId="77777777">
      <w:pPr>
        <w:pStyle w:val="zGNormalDefinition"/>
        <w:rPr>
          <w:rStyle w:val="zGNormalChar"/>
        </w:rPr>
      </w:pPr>
      <w:r w:rsidRPr="001703E6">
        <w:rPr>
          <w:b/>
          <w:bCs/>
          <w:sz w:val="20"/>
          <w:u w:val="single"/>
        </w:rPr>
        <w:t>Acquisition Proposal</w:t>
      </w:r>
      <w:r w:rsidRPr="001703E6">
        <w:rPr>
          <w:b/>
          <w:bCs/>
          <w:sz w:val="20"/>
        </w:rPr>
        <w:t>:</w:t>
      </w:r>
      <w:r w:rsidRPr="001703E6">
        <w:rPr>
          <w:sz w:val="20"/>
        </w:rPr>
        <w:t xml:space="preserve"> </w:t>
      </w:r>
      <w:r w:rsidRPr="001703E6">
        <w:rPr>
          <w:rStyle w:val="zGNormalChar"/>
        </w:rPr>
        <w:t>Any offer, proposal, inquiry, or indication of interest from any third party relating to any transaction involving any acquisition or purchase or sale of, or similar transaction by, any Person (other than GPC) of all or any portion of the Facility or the Facility Assets.</w:t>
      </w:r>
    </w:p>
    <w:p w:rsidRPr="001703E6" w:rsidR="0029492C" w:rsidP="00B71D5E" w:rsidRDefault="0029492C" w14:paraId="1983B152" w14:textId="77777777">
      <w:pPr>
        <w:pStyle w:val="zGNormalDefinition"/>
        <w:spacing w:before="120" w:after="120"/>
        <w:rPr>
          <w:rStyle w:val="zGNormalChar"/>
        </w:rPr>
      </w:pPr>
      <w:r w:rsidRPr="001703E6">
        <w:rPr>
          <w:b/>
          <w:bCs/>
          <w:spacing w:val="0"/>
          <w:sz w:val="20"/>
          <w:u w:val="single"/>
        </w:rPr>
        <w:t>Action</w:t>
      </w:r>
      <w:r w:rsidRPr="001703E6">
        <w:rPr>
          <w:b/>
          <w:bCs/>
          <w:spacing w:val="0"/>
          <w:sz w:val="20"/>
        </w:rPr>
        <w:t>:</w:t>
      </w:r>
      <w:r w:rsidRPr="001703E6">
        <w:rPr>
          <w:spacing w:val="0"/>
          <w:sz w:val="20"/>
        </w:rPr>
        <w:t xml:space="preserve"> </w:t>
      </w:r>
      <w:r w:rsidRPr="001703E6">
        <w:rPr>
          <w:rStyle w:val="zGNormalChar"/>
        </w:rPr>
        <w:t xml:space="preserve">Any demand, complaint, claim, action, legal proceeding (whether at law or in equity), investigation, request for information, arbitration, hearing, audit, or suit commenced, brought, </w:t>
      </w:r>
      <w:proofErr w:type="gramStart"/>
      <w:r w:rsidRPr="001703E6" w:rsidR="00941056">
        <w:rPr>
          <w:rStyle w:val="zGNormalChar"/>
        </w:rPr>
        <w:t>conducted,</w:t>
      </w:r>
      <w:r w:rsidRPr="001703E6">
        <w:rPr>
          <w:rStyle w:val="zGNormalChar"/>
        </w:rPr>
        <w:t xml:space="preserve"> </w:t>
      </w:r>
      <w:r w:rsidR="00941056">
        <w:rPr>
          <w:rStyle w:val="zGNormalChar"/>
        </w:rPr>
        <w:t>or</w:t>
      </w:r>
      <w:proofErr w:type="gramEnd"/>
      <w:r w:rsidR="00941056">
        <w:rPr>
          <w:rStyle w:val="zGNormalChar"/>
        </w:rPr>
        <w:t xml:space="preserve"> </w:t>
      </w:r>
      <w:r w:rsidRPr="001703E6">
        <w:rPr>
          <w:rStyle w:val="zGNormalChar"/>
        </w:rPr>
        <w:t>heard by or before, or otherwise involving, any Governmental Authority.</w:t>
      </w:r>
    </w:p>
    <w:p w:rsidRPr="001703E6" w:rsidR="0029492C" w:rsidP="00B71D5E" w:rsidRDefault="0029492C" w14:paraId="6C365859" w14:textId="2959E937">
      <w:pPr>
        <w:pStyle w:val="zGNormalDefinition"/>
        <w:spacing w:before="120" w:after="120"/>
        <w:rPr>
          <w:rStyle w:val="zGNormalChar"/>
        </w:rPr>
      </w:pPr>
      <w:r w:rsidRPr="001703E6">
        <w:rPr>
          <w:b/>
          <w:bCs/>
          <w:spacing w:val="0"/>
          <w:sz w:val="20"/>
          <w:u w:val="single"/>
        </w:rPr>
        <w:t>Affiliate</w:t>
      </w:r>
      <w:r w:rsidRPr="001703E6">
        <w:rPr>
          <w:b/>
          <w:bCs/>
          <w:spacing w:val="0"/>
          <w:sz w:val="20"/>
        </w:rPr>
        <w:t>:</w:t>
      </w:r>
      <w:r w:rsidRPr="001703E6">
        <w:rPr>
          <w:spacing w:val="0"/>
          <w:sz w:val="20"/>
        </w:rPr>
        <w:t xml:space="preserve"> </w:t>
      </w:r>
      <w:r w:rsidRPr="001703E6">
        <w:rPr>
          <w:rStyle w:val="zGNormalChar"/>
        </w:rPr>
        <w:t xml:space="preserve">For any specific Person, any other Person directly or indirectly controlling or controlled by, or under common control with such specified Person. For purposes of this definition, “control,” when used with respect to any entity, means the power to direct the management and policies of such entity, directly, or indirectly, whether through the ownership of voting securities, by contract or otherwise. For purposes of this APA, it is assumed that the direct or indirect owner of 50% or more of the outstanding stock or other equity interest of a Person has “control” of such Person; the terms “controlling” and “controlled” have meanings correlative to </w:t>
      </w:r>
      <w:r w:rsidRPr="001703E6" w:rsidR="00800CF7">
        <w:rPr>
          <w:rStyle w:val="zGNormalChar"/>
        </w:rPr>
        <w:t>“</w:t>
      </w:r>
      <w:r w:rsidRPr="001703E6">
        <w:rPr>
          <w:rStyle w:val="zGNormalChar"/>
        </w:rPr>
        <w:t>control.”</w:t>
      </w:r>
    </w:p>
    <w:p w:rsidRPr="001703E6" w:rsidR="0029492C" w:rsidP="00B71D5E" w:rsidRDefault="0029492C" w14:paraId="7BE84C0F" w14:textId="289C82C1">
      <w:pPr>
        <w:pStyle w:val="zGNormalDefinition"/>
        <w:spacing w:before="120" w:after="120"/>
        <w:rPr>
          <w:spacing w:val="0"/>
          <w:sz w:val="20"/>
        </w:rPr>
      </w:pPr>
      <w:r w:rsidRPr="001703E6">
        <w:rPr>
          <w:b/>
          <w:bCs/>
          <w:spacing w:val="0"/>
          <w:sz w:val="20"/>
          <w:u w:val="single"/>
        </w:rPr>
        <w:t>Affiliate Arrangement</w:t>
      </w:r>
      <w:r w:rsidRPr="001703E6">
        <w:rPr>
          <w:rStyle w:val="zGNormalChar"/>
        </w:rPr>
        <w:t>: As defined in Section 3.26 (</w:t>
      </w:r>
      <w:r w:rsidRPr="001703E6">
        <w:rPr>
          <w:rStyle w:val="zGNormalChar"/>
          <w:i/>
          <w:iCs/>
        </w:rPr>
        <w:t>Affiliate Arrangements</w:t>
      </w:r>
      <w:r w:rsidRPr="001703E6">
        <w:rPr>
          <w:rStyle w:val="zGNormalChar"/>
        </w:rPr>
        <w:t>).</w:t>
      </w:r>
      <w:r w:rsidRPr="001703E6" w:rsidR="00250E2F">
        <w:rPr>
          <w:spacing w:val="0"/>
          <w:sz w:val="20"/>
        </w:rPr>
        <w:t xml:space="preserve"> </w:t>
      </w:r>
    </w:p>
    <w:p w:rsidRPr="001703E6" w:rsidR="0050190A" w:rsidP="00B71D5E" w:rsidRDefault="0050190A" w14:paraId="19BAD3DD" w14:textId="07B07FA9">
      <w:pPr>
        <w:pStyle w:val="zGNormalDefinition"/>
        <w:spacing w:before="120" w:after="120"/>
        <w:rPr>
          <w:rStyle w:val="zGNormalChar"/>
        </w:rPr>
      </w:pPr>
      <w:r w:rsidRPr="001703E6">
        <w:rPr>
          <w:b/>
          <w:bCs/>
          <w:spacing w:val="0"/>
          <w:sz w:val="20"/>
          <w:u w:val="single"/>
        </w:rPr>
        <w:t>After-Tax Basis</w:t>
      </w:r>
      <w:r w:rsidRPr="001703E6">
        <w:rPr>
          <w:b/>
          <w:bCs/>
          <w:spacing w:val="0"/>
          <w:sz w:val="20"/>
        </w:rPr>
        <w:t>:</w:t>
      </w:r>
      <w:r w:rsidRPr="001703E6">
        <w:rPr>
          <w:spacing w:val="0"/>
          <w:sz w:val="20"/>
        </w:rPr>
        <w:t xml:space="preserve"> </w:t>
      </w:r>
      <w:r w:rsidR="00F9346C">
        <w:rPr>
          <w:rStyle w:val="zGNormalChar"/>
        </w:rPr>
        <w:t>With respect to</w:t>
      </w:r>
      <w:r w:rsidRPr="001703E6" w:rsidR="00F9346C">
        <w:rPr>
          <w:rStyle w:val="zGNormalChar"/>
        </w:rPr>
        <w:t xml:space="preserve"> </w:t>
      </w:r>
      <w:r w:rsidRPr="001703E6">
        <w:rPr>
          <w:rStyle w:val="zGNormalChar"/>
        </w:rPr>
        <w:t xml:space="preserve">a given payment required to be made to any Person, the amount of </w:t>
      </w:r>
      <w:r w:rsidR="00F9346C">
        <w:rPr>
          <w:rStyle w:val="zGNormalChar"/>
        </w:rPr>
        <w:t>the</w:t>
      </w:r>
      <w:r w:rsidRPr="001703E6" w:rsidR="00F9346C">
        <w:rPr>
          <w:rStyle w:val="zGNormalChar"/>
        </w:rPr>
        <w:t xml:space="preserve"> </w:t>
      </w:r>
      <w:r w:rsidRPr="001703E6">
        <w:rPr>
          <w:rStyle w:val="zGNormalChar"/>
        </w:rPr>
        <w:t>payment (“</w:t>
      </w:r>
      <w:r w:rsidRPr="001703E6">
        <w:rPr>
          <w:rStyle w:val="zGNormalChar"/>
          <w:b/>
          <w:bCs/>
        </w:rPr>
        <w:t>Base Payment</w:t>
      </w:r>
      <w:r w:rsidRPr="001703E6">
        <w:rPr>
          <w:rStyle w:val="zGNormalChar"/>
        </w:rPr>
        <w:t>”) supplemented by a further payment (“</w:t>
      </w:r>
      <w:r w:rsidRPr="001703E6">
        <w:rPr>
          <w:rStyle w:val="zGNormalChar"/>
          <w:b/>
          <w:bCs/>
        </w:rPr>
        <w:t>Additional Payment</w:t>
      </w:r>
      <w:r w:rsidRPr="001703E6">
        <w:rPr>
          <w:rStyle w:val="zGNormalChar"/>
        </w:rPr>
        <w:t xml:space="preserve">”) to that Person so that the sum of the Base Payment plus the Additional Payment will, after deduction of the amount of all income taxes required to be paid by the Person regarding the receipt or accrual of the Base Payment and the Additional Payment (taking into account the net present value of any reduction in income taxes resulting from tax benefits realized by the recipient as a result of the payment or the event giving rise to the payment), be equal to the amount required to be received. The calculations will be made </w:t>
      </w:r>
      <w:proofErr w:type="gramStart"/>
      <w:r w:rsidRPr="001703E6">
        <w:rPr>
          <w:rStyle w:val="zGNormalChar"/>
        </w:rPr>
        <w:t>on the basis of</w:t>
      </w:r>
      <w:proofErr w:type="gramEnd"/>
      <w:r w:rsidRPr="001703E6">
        <w:rPr>
          <w:rStyle w:val="zGNormalChar"/>
        </w:rPr>
        <w:t xml:space="preserve"> the highest generally applicable federal, state, and local income tax rates applicable to the Person for whom the calculation is being made for all relevant periods and will </w:t>
      </w:r>
      <w:proofErr w:type="gramStart"/>
      <w:r w:rsidRPr="001703E6">
        <w:rPr>
          <w:rStyle w:val="zGNormalChar"/>
        </w:rPr>
        <w:t>take into account</w:t>
      </w:r>
      <w:proofErr w:type="gramEnd"/>
      <w:r w:rsidRPr="001703E6">
        <w:rPr>
          <w:rStyle w:val="zGNormalChar"/>
        </w:rPr>
        <w:t xml:space="preserve"> the deductibility of state and local income taxes for federal income tax purposes.</w:t>
      </w:r>
    </w:p>
    <w:p w:rsidRPr="001703E6" w:rsidR="00ED3B3D" w:rsidP="00B71D5E" w:rsidRDefault="00ED3B3D" w14:paraId="2F5E74DE" w14:textId="77777777">
      <w:pPr>
        <w:pStyle w:val="zGNormalDefinition"/>
        <w:spacing w:before="120" w:after="120"/>
        <w:rPr>
          <w:spacing w:val="0"/>
          <w:sz w:val="20"/>
        </w:rPr>
      </w:pPr>
      <w:r w:rsidRPr="001703E6">
        <w:rPr>
          <w:b/>
          <w:bCs/>
          <w:spacing w:val="0"/>
          <w:sz w:val="20"/>
          <w:u w:val="single"/>
        </w:rPr>
        <w:t>ALTA Survey</w:t>
      </w:r>
      <w:r w:rsidRPr="001703E6">
        <w:rPr>
          <w:b/>
          <w:bCs/>
          <w:spacing w:val="0"/>
          <w:sz w:val="20"/>
        </w:rPr>
        <w:t>:</w:t>
      </w:r>
      <w:r w:rsidRPr="001703E6">
        <w:rPr>
          <w:spacing w:val="0"/>
          <w:sz w:val="20"/>
        </w:rPr>
        <w:t xml:space="preserve"> </w:t>
      </w:r>
      <w:r w:rsidRPr="001703E6">
        <w:rPr>
          <w:rStyle w:val="zGNormalChar"/>
        </w:rPr>
        <w:t>A current survey, with respect to each parcel of real property described in the pro forma Title Policy, prepared and certified by the Surveyor and conforming to the 2016 ALTA/ASCM Minimum Standard Detail Requirements for Land Title Surveys (including items 1, 3, 4, 8, 11, and 16 (if a wetlands delineation is available) of Table A) and disclosing the location of all existing improvements, plottable easements, encroachments, roadways, utility lines, set back lines, and other matters shown customarily on project or facility surveys, and showing access affirmatively to public streets and roads.</w:t>
      </w:r>
      <w:r w:rsidRPr="001703E6">
        <w:rPr>
          <w:spacing w:val="0"/>
          <w:sz w:val="20"/>
        </w:rPr>
        <w:t xml:space="preserve"> </w:t>
      </w:r>
    </w:p>
    <w:p w:rsidRPr="001703E6" w:rsidR="0071316E" w:rsidP="00B62EAE" w:rsidRDefault="0071316E" w14:paraId="55B6293C" w14:textId="77777777">
      <w:pPr>
        <w:pStyle w:val="zGNormalDefinition"/>
        <w:rPr>
          <w:sz w:val="20"/>
        </w:rPr>
      </w:pPr>
      <w:r w:rsidRPr="001703E6">
        <w:rPr>
          <w:b/>
          <w:sz w:val="20"/>
          <w:u w:val="single"/>
        </w:rPr>
        <w:t>Amended Commission Certificate</w:t>
      </w:r>
      <w:r w:rsidRPr="001703E6">
        <w:rPr>
          <w:b/>
          <w:bCs/>
          <w:sz w:val="20"/>
        </w:rPr>
        <w:t>:</w:t>
      </w:r>
      <w:r w:rsidRPr="001703E6">
        <w:rPr>
          <w:sz w:val="20"/>
        </w:rPr>
        <w:t xml:space="preserve"> </w:t>
      </w:r>
      <w:r w:rsidRPr="001703E6">
        <w:rPr>
          <w:rStyle w:val="zGNormalChar"/>
        </w:rPr>
        <w:t xml:space="preserve">An amendment to the Commission Certificate issued by the Commission during the Term. </w:t>
      </w:r>
    </w:p>
    <w:p w:rsidRPr="001703E6" w:rsidR="0029492C" w:rsidP="00B71D5E" w:rsidRDefault="0029492C" w14:paraId="4858D2AA" w14:textId="5E944050">
      <w:pPr>
        <w:pStyle w:val="zGNormalDefinition"/>
        <w:spacing w:before="120" w:after="120"/>
        <w:rPr>
          <w:spacing w:val="0"/>
          <w:sz w:val="20"/>
        </w:rPr>
      </w:pPr>
      <w:r w:rsidRPr="001703E6">
        <w:rPr>
          <w:b/>
          <w:bCs/>
          <w:spacing w:val="0"/>
          <w:sz w:val="20"/>
          <w:u w:val="single"/>
        </w:rPr>
        <w:t>APA</w:t>
      </w:r>
      <w:r w:rsidRPr="001703E6">
        <w:rPr>
          <w:b/>
          <w:bCs/>
          <w:spacing w:val="0"/>
          <w:sz w:val="20"/>
        </w:rPr>
        <w:t>:</w:t>
      </w:r>
      <w:r w:rsidRPr="001703E6">
        <w:rPr>
          <w:spacing w:val="0"/>
          <w:sz w:val="20"/>
        </w:rPr>
        <w:t xml:space="preserve"> </w:t>
      </w:r>
      <w:r w:rsidRPr="001703E6">
        <w:rPr>
          <w:rStyle w:val="zGNormalChar"/>
        </w:rPr>
        <w:t xml:space="preserve">This Asset Purchase Agreement </w:t>
      </w:r>
      <w:r w:rsidRPr="001703E6" w:rsidR="006E01B3">
        <w:rPr>
          <w:rStyle w:val="zGNormalChar"/>
        </w:rPr>
        <w:t>f</w:t>
      </w:r>
      <w:r w:rsidRPr="001703E6" w:rsidR="002B4CD6">
        <w:rPr>
          <w:rStyle w:val="zGNormalChar"/>
        </w:rPr>
        <w:t xml:space="preserve">or 2026 All-Source Capacity Request for Proposals for Need Years </w:t>
      </w:r>
      <w:r w:rsidRPr="001703E6">
        <w:rPr>
          <w:rStyle w:val="zGNormalChar"/>
        </w:rPr>
        <w:t>2032</w:t>
      </w:r>
      <w:r w:rsidRPr="001703E6" w:rsidR="0054007D">
        <w:rPr>
          <w:rStyle w:val="zGNormalChar"/>
        </w:rPr>
        <w:t>–</w:t>
      </w:r>
      <w:r w:rsidRPr="001703E6">
        <w:rPr>
          <w:rStyle w:val="zGNormalChar"/>
        </w:rPr>
        <w:t>2033 at the Facility described in Exhibit A-1 (</w:t>
      </w:r>
      <w:r w:rsidRPr="001703E6">
        <w:rPr>
          <w:rStyle w:val="zGNormalChar"/>
          <w:i/>
          <w:iCs/>
        </w:rPr>
        <w:t xml:space="preserve">Facility Information and Additional </w:t>
      </w:r>
      <w:r w:rsidRPr="001703E6" w:rsidR="00BE5E55">
        <w:rPr>
          <w:rStyle w:val="zGNormalChar"/>
          <w:i/>
          <w:iCs/>
        </w:rPr>
        <w:t>Details</w:t>
      </w:r>
      <w:r w:rsidRPr="001703E6">
        <w:rPr>
          <w:rStyle w:val="zGNormalChar"/>
        </w:rPr>
        <w:t>), between GPC and Seller, including all Exhibits and Schedules, including the Seller Disclosure Schedule.</w:t>
      </w:r>
    </w:p>
    <w:p w:rsidRPr="001703E6" w:rsidR="00E91BC6" w:rsidP="00B71D5E" w:rsidRDefault="00E91BC6" w14:paraId="1296A4DE" w14:textId="77777777">
      <w:pPr>
        <w:pStyle w:val="zGNormalDefinition"/>
        <w:spacing w:before="120" w:after="120"/>
        <w:rPr>
          <w:spacing w:val="0"/>
          <w:sz w:val="20"/>
        </w:rPr>
      </w:pPr>
      <w:r w:rsidRPr="001703E6">
        <w:rPr>
          <w:b/>
          <w:bCs/>
          <w:spacing w:val="0"/>
          <w:sz w:val="20"/>
          <w:u w:val="single"/>
        </w:rPr>
        <w:t>Apprenticeship Requirements</w:t>
      </w:r>
      <w:r w:rsidRPr="001703E6">
        <w:rPr>
          <w:b/>
          <w:bCs/>
          <w:spacing w:val="0"/>
          <w:sz w:val="20"/>
        </w:rPr>
        <w:t>:</w:t>
      </w:r>
      <w:r w:rsidRPr="001703E6">
        <w:rPr>
          <w:spacing w:val="0"/>
          <w:sz w:val="20"/>
        </w:rPr>
        <w:t xml:space="preserve"> The requirements of Code sections 45(b)(8), 45Y(g)(10), 48(a)(11), and 48E(d)(4), as applicable, and any guidance or other legal authorities applicable to the Code sections, including any guidance published or issued by the U.S. Department of the Treasury (including any guidance issued by the IRS) or the U.S. Department of Labor.</w:t>
      </w:r>
    </w:p>
    <w:p w:rsidRPr="001703E6" w:rsidR="0078634F" w:rsidP="00B71D5E" w:rsidRDefault="0078634F" w14:paraId="383F9BB6" w14:textId="326336FD">
      <w:pPr>
        <w:pStyle w:val="zGNormalDefinition"/>
        <w:spacing w:before="120" w:after="120"/>
        <w:rPr>
          <w:spacing w:val="0"/>
          <w:sz w:val="20"/>
        </w:rPr>
      </w:pPr>
      <w:r w:rsidRPr="001703E6">
        <w:rPr>
          <w:b/>
          <w:bCs/>
          <w:spacing w:val="0"/>
          <w:sz w:val="20"/>
          <w:u w:val="single"/>
        </w:rPr>
        <w:t>Assignment Agreement</w:t>
      </w:r>
      <w:r w:rsidRPr="001703E6">
        <w:rPr>
          <w:b/>
          <w:bCs/>
          <w:spacing w:val="0"/>
          <w:sz w:val="20"/>
        </w:rPr>
        <w:t>:</w:t>
      </w:r>
      <w:r w:rsidRPr="001703E6">
        <w:rPr>
          <w:spacing w:val="0"/>
          <w:sz w:val="20"/>
        </w:rPr>
        <w:t xml:space="preserve"> </w:t>
      </w:r>
      <w:r w:rsidR="006266A3">
        <w:rPr>
          <w:spacing w:val="0"/>
          <w:sz w:val="20"/>
        </w:rPr>
        <w:t xml:space="preserve">The </w:t>
      </w:r>
      <w:r w:rsidRPr="001703E6">
        <w:rPr>
          <w:spacing w:val="0"/>
          <w:sz w:val="20"/>
        </w:rPr>
        <w:t xml:space="preserve">Assignment Agreement </w:t>
      </w:r>
      <w:r w:rsidR="006266A3">
        <w:rPr>
          <w:spacing w:val="0"/>
          <w:sz w:val="20"/>
        </w:rPr>
        <w:t xml:space="preserve">to be </w:t>
      </w:r>
      <w:r w:rsidRPr="001703E6">
        <w:rPr>
          <w:spacing w:val="0"/>
          <w:sz w:val="20"/>
        </w:rPr>
        <w:t>entered into by Seller and GPC at the Closing, in substantially the form of Exhibit E (</w:t>
      </w:r>
      <w:r w:rsidRPr="001703E6">
        <w:rPr>
          <w:i/>
          <w:iCs/>
          <w:spacing w:val="0"/>
          <w:sz w:val="20"/>
        </w:rPr>
        <w:t>Form of Assignment Agreement</w:t>
      </w:r>
      <w:r w:rsidRPr="001703E6">
        <w:rPr>
          <w:spacing w:val="0"/>
          <w:sz w:val="20"/>
        </w:rPr>
        <w:t>) attached to this APA.</w:t>
      </w:r>
    </w:p>
    <w:p w:rsidRPr="001703E6" w:rsidR="00014ED0" w:rsidP="00B71D5E" w:rsidRDefault="0029492C" w14:paraId="7B455E65" w14:textId="35145243">
      <w:pPr>
        <w:pStyle w:val="zGNormalDefinition"/>
        <w:spacing w:before="120" w:after="120"/>
        <w:rPr>
          <w:b/>
          <w:bCs/>
          <w:spacing w:val="0"/>
          <w:sz w:val="20"/>
        </w:rPr>
      </w:pPr>
      <w:r w:rsidRPr="001703E6">
        <w:rPr>
          <w:b/>
          <w:bCs/>
          <w:spacing w:val="0"/>
          <w:sz w:val="20"/>
          <w:u w:val="single"/>
        </w:rPr>
        <w:t>Assumed Liabilities</w:t>
      </w:r>
      <w:r w:rsidRPr="001703E6">
        <w:rPr>
          <w:b/>
          <w:bCs/>
          <w:spacing w:val="0"/>
          <w:sz w:val="20"/>
        </w:rPr>
        <w:t>:</w:t>
      </w:r>
      <w:r w:rsidRPr="001703E6">
        <w:rPr>
          <w:spacing w:val="0"/>
          <w:sz w:val="20"/>
        </w:rPr>
        <w:t xml:space="preserve"> </w:t>
      </w:r>
      <w:r w:rsidRPr="001703E6">
        <w:rPr>
          <w:rStyle w:val="zGNormalChar"/>
        </w:rPr>
        <w:t>As defined in Section 1.5 (</w:t>
      </w:r>
      <w:r w:rsidRPr="001703E6">
        <w:rPr>
          <w:rStyle w:val="zGNormalChar"/>
          <w:i/>
          <w:iCs/>
        </w:rPr>
        <w:t>Assumed Liabilities</w:t>
      </w:r>
      <w:r w:rsidRPr="001703E6">
        <w:rPr>
          <w:rStyle w:val="zGNormalChar"/>
        </w:rPr>
        <w:t>).</w:t>
      </w:r>
    </w:p>
    <w:p w:rsidRPr="00481CF7" w:rsidR="00481CF7" w:rsidP="00481CF7" w:rsidRDefault="00481CF7" w14:paraId="0A7C11DB" w14:textId="362A3F37">
      <w:pPr>
        <w:pStyle w:val="zGNormalDefinition"/>
        <w:rPr>
          <w:spacing w:val="0"/>
          <w:sz w:val="20"/>
        </w:rPr>
      </w:pPr>
      <w:r w:rsidRPr="00D52080">
        <w:rPr>
          <w:b/>
          <w:bCs/>
          <w:sz w:val="20"/>
          <w:u w:val="single"/>
        </w:rPr>
        <w:t>Banking Day</w:t>
      </w:r>
      <w:r w:rsidRPr="00D52080">
        <w:rPr>
          <w:b/>
          <w:bCs/>
          <w:sz w:val="20"/>
        </w:rPr>
        <w:t>:</w:t>
      </w:r>
      <w:r w:rsidRPr="00D52080">
        <w:rPr>
          <w:sz w:val="20"/>
        </w:rPr>
        <w:t xml:space="preserve"> Any Day on which banking institutions in Atlanta, Georgia are open.</w:t>
      </w:r>
    </w:p>
    <w:p w:rsidRPr="001703E6" w:rsidR="003074F2" w:rsidP="003074F2" w:rsidRDefault="003074F2" w14:paraId="2F433B42" w14:textId="1A3856BA">
      <w:pPr>
        <w:pStyle w:val="zGNormalDefinition"/>
        <w:spacing w:before="120" w:after="120"/>
        <w:rPr>
          <w:spacing w:val="0"/>
          <w:sz w:val="20"/>
        </w:rPr>
      </w:pPr>
      <w:r w:rsidRPr="001703E6">
        <w:rPr>
          <w:b/>
          <w:bCs/>
          <w:spacing w:val="0"/>
          <w:sz w:val="20"/>
          <w:u w:val="single"/>
        </w:rPr>
        <w:t>Bankruptcy Code</w:t>
      </w:r>
      <w:r w:rsidRPr="001703E6">
        <w:rPr>
          <w:b/>
          <w:bCs/>
          <w:spacing w:val="0"/>
          <w:sz w:val="20"/>
        </w:rPr>
        <w:t>:</w:t>
      </w:r>
      <w:r w:rsidRPr="001703E6">
        <w:rPr>
          <w:spacing w:val="0"/>
          <w:sz w:val="20"/>
        </w:rPr>
        <w:t xml:space="preserve"> </w:t>
      </w:r>
      <w:r w:rsidRPr="001703E6">
        <w:rPr>
          <w:rStyle w:val="zGNormalChar"/>
        </w:rPr>
        <w:t>Title 11 of the United States Code, as amended from time to time, or any similar federal or state law for the relief of debtors.</w:t>
      </w:r>
    </w:p>
    <w:p w:rsidRPr="001703E6" w:rsidR="0084016B" w:rsidP="003074F2" w:rsidRDefault="003074F2" w14:paraId="4145227A" w14:textId="77777777">
      <w:pPr>
        <w:pStyle w:val="zGNormalDefinition"/>
        <w:spacing w:before="120" w:after="120"/>
        <w:rPr>
          <w:spacing w:val="0"/>
          <w:sz w:val="20"/>
        </w:rPr>
      </w:pPr>
      <w:r w:rsidRPr="001703E6">
        <w:rPr>
          <w:b/>
          <w:bCs/>
          <w:spacing w:val="0"/>
          <w:sz w:val="20"/>
          <w:u w:val="single"/>
        </w:rPr>
        <w:t>Bankruptcy Laws</w:t>
      </w:r>
      <w:r w:rsidRPr="001703E6">
        <w:rPr>
          <w:b/>
          <w:bCs/>
          <w:spacing w:val="0"/>
          <w:sz w:val="20"/>
        </w:rPr>
        <w:t>:</w:t>
      </w:r>
      <w:r w:rsidRPr="001703E6">
        <w:rPr>
          <w:spacing w:val="0"/>
          <w:sz w:val="20"/>
        </w:rPr>
        <w:t xml:space="preserve"> </w:t>
      </w:r>
      <w:r w:rsidRPr="001703E6">
        <w:rPr>
          <w:rStyle w:val="zGNormalChar"/>
        </w:rPr>
        <w:t>The Bankruptcy Code and all other liquidation, bankruptcy, assignment for the benefit of creditors, conservatorship, moratorium, receivership, insolvency, rearrangement, reorganization, or similar debtor relief law of the United States or any other applicable jurisdiction in effect from time to time.</w:t>
      </w:r>
    </w:p>
    <w:p w:rsidRPr="001703E6" w:rsidR="00D04210" w:rsidP="003074F2" w:rsidRDefault="00D04210" w14:paraId="14487173" w14:textId="77777777">
      <w:pPr>
        <w:pStyle w:val="zGNormalDefinition"/>
        <w:spacing w:before="120" w:after="120"/>
        <w:rPr>
          <w:spacing w:val="0"/>
          <w:sz w:val="20"/>
        </w:rPr>
      </w:pPr>
      <w:r w:rsidRPr="001703E6">
        <w:rPr>
          <w:b/>
          <w:bCs/>
          <w:spacing w:val="0"/>
          <w:sz w:val="20"/>
          <w:u w:val="single"/>
        </w:rPr>
        <w:t>Base Purchase Price</w:t>
      </w:r>
      <w:r w:rsidRPr="001703E6">
        <w:rPr>
          <w:b/>
          <w:bCs/>
          <w:spacing w:val="0"/>
          <w:sz w:val="20"/>
        </w:rPr>
        <w:t>:</w:t>
      </w:r>
      <w:r w:rsidRPr="001703E6">
        <w:rPr>
          <w:spacing w:val="0"/>
          <w:sz w:val="20"/>
        </w:rPr>
        <w:t xml:space="preserve"> </w:t>
      </w:r>
      <w:r w:rsidRPr="001703E6">
        <w:rPr>
          <w:rStyle w:val="zGNormalChar"/>
        </w:rPr>
        <w:t>The amount specified in Exhibit A-1 (</w:t>
      </w:r>
      <w:r w:rsidRPr="001703E6">
        <w:rPr>
          <w:rStyle w:val="zGNormalChar"/>
          <w:i/>
          <w:iCs/>
        </w:rPr>
        <w:t>Facility Information and Additional Details</w:t>
      </w:r>
      <w:r w:rsidRPr="001703E6">
        <w:rPr>
          <w:rStyle w:val="zGNormalChar"/>
        </w:rPr>
        <w:t>).</w:t>
      </w:r>
    </w:p>
    <w:p w:rsidRPr="001703E6" w:rsidR="0029492C" w:rsidP="00B71D5E" w:rsidRDefault="0029492C" w14:paraId="3A34F510" w14:textId="77777777">
      <w:pPr>
        <w:pStyle w:val="zGNormalDefinition"/>
        <w:spacing w:before="120" w:after="120"/>
        <w:rPr>
          <w:spacing w:val="0"/>
          <w:sz w:val="20"/>
        </w:rPr>
      </w:pPr>
      <w:r w:rsidRPr="001703E6">
        <w:rPr>
          <w:b/>
          <w:bCs/>
          <w:spacing w:val="0"/>
          <w:sz w:val="20"/>
          <w:u w:val="single"/>
        </w:rPr>
        <w:t>Benefit Plan</w:t>
      </w:r>
      <w:r w:rsidRPr="001703E6">
        <w:rPr>
          <w:b/>
          <w:bCs/>
          <w:spacing w:val="0"/>
          <w:sz w:val="20"/>
        </w:rPr>
        <w:t>:</w:t>
      </w:r>
      <w:r w:rsidRPr="001703E6">
        <w:rPr>
          <w:spacing w:val="0"/>
          <w:sz w:val="20"/>
        </w:rPr>
        <w:t xml:space="preserve"> </w:t>
      </w:r>
      <w:r w:rsidRPr="001703E6">
        <w:rPr>
          <w:rStyle w:val="zGNormalChar"/>
        </w:rPr>
        <w:t xml:space="preserve">Any “pension plan” or “welfare plan” within the meaning of Section 3(2) or 3(1) of ERISA, any “employee </w:t>
      </w:r>
      <w:r w:rsidRPr="001703E6">
        <w:rPr>
          <w:rStyle w:val="zGNormalChar"/>
        </w:rPr>
        <w:lastRenderedPageBreak/>
        <w:t>benefit plan” within the meaning of Section 3(3) of ERISA, or other employee benefit plan, program, agreement or arrangement or employment, compensation, bonus, incentive, retirement, deferred compensation, severance or fringe benefit plan, program, agreement, or arrangement, in each case, whether or not tax-qualified and whether or not subject to ERISA.</w:t>
      </w:r>
    </w:p>
    <w:p w:rsidRPr="001703E6" w:rsidR="0029492C" w:rsidP="00B71D5E" w:rsidRDefault="0029492C" w14:paraId="1CAA27B4" w14:textId="4B608AA4">
      <w:pPr>
        <w:pStyle w:val="zGNormalDefinition"/>
        <w:spacing w:before="120" w:after="120"/>
        <w:rPr>
          <w:spacing w:val="0"/>
          <w:sz w:val="20"/>
        </w:rPr>
      </w:pPr>
      <w:r w:rsidRPr="001703E6">
        <w:rPr>
          <w:b/>
          <w:bCs/>
          <w:spacing w:val="0"/>
          <w:sz w:val="20"/>
          <w:u w:val="single"/>
        </w:rPr>
        <w:t>Bill of Sale</w:t>
      </w:r>
      <w:r w:rsidRPr="001703E6">
        <w:rPr>
          <w:b/>
          <w:bCs/>
          <w:spacing w:val="0"/>
          <w:sz w:val="20"/>
        </w:rPr>
        <w:t>:</w:t>
      </w:r>
      <w:r w:rsidRPr="001703E6">
        <w:rPr>
          <w:spacing w:val="0"/>
          <w:sz w:val="20"/>
        </w:rPr>
        <w:t xml:space="preserve"> </w:t>
      </w:r>
      <w:r w:rsidR="00FA428B">
        <w:rPr>
          <w:spacing w:val="0"/>
          <w:sz w:val="20"/>
        </w:rPr>
        <w:t xml:space="preserve">The </w:t>
      </w:r>
      <w:r w:rsidRPr="001703E6">
        <w:rPr>
          <w:rStyle w:val="zGNormalChar"/>
        </w:rPr>
        <w:t>Bill of Sale Agreement to be entered into by Seller and GPC at the Closing, in substantially the form of Exhibit D (</w:t>
      </w:r>
      <w:r w:rsidRPr="001703E6">
        <w:rPr>
          <w:rStyle w:val="zGNormalChar"/>
          <w:i/>
          <w:iCs/>
        </w:rPr>
        <w:t>Form of Bill of Sale</w:t>
      </w:r>
      <w:r w:rsidRPr="001703E6">
        <w:rPr>
          <w:rStyle w:val="zGNormalChar"/>
        </w:rPr>
        <w:t>) attached to this APA.</w:t>
      </w:r>
    </w:p>
    <w:p w:rsidRPr="001703E6" w:rsidR="0029492C" w:rsidP="00B71D5E" w:rsidRDefault="0029492C" w14:paraId="46C1E368" w14:textId="77777777">
      <w:pPr>
        <w:pStyle w:val="zGNormalDefinition"/>
        <w:spacing w:before="120" w:after="120"/>
        <w:rPr>
          <w:spacing w:val="0"/>
          <w:sz w:val="20"/>
        </w:rPr>
      </w:pPr>
      <w:r w:rsidRPr="001703E6">
        <w:rPr>
          <w:b/>
          <w:bCs/>
          <w:spacing w:val="0"/>
          <w:sz w:val="20"/>
          <w:u w:val="single"/>
        </w:rPr>
        <w:t>Books and Records</w:t>
      </w:r>
      <w:r w:rsidRPr="001703E6">
        <w:rPr>
          <w:b/>
          <w:bCs/>
          <w:spacing w:val="0"/>
          <w:sz w:val="20"/>
        </w:rPr>
        <w:t>:</w:t>
      </w:r>
      <w:r w:rsidRPr="001703E6">
        <w:rPr>
          <w:spacing w:val="0"/>
          <w:sz w:val="20"/>
        </w:rPr>
        <w:t xml:space="preserve"> </w:t>
      </w:r>
      <w:r w:rsidRPr="001703E6">
        <w:rPr>
          <w:rStyle w:val="zGNormalChar"/>
        </w:rPr>
        <w:t>All data, books, records, files, documents, instruments, papers, correspondence that can be reasonably and practically provided, journals, deeds, licenses, Permits, computer files and programs, studies and reports (including environmental and construction studies and reports), annual operating plans, monthly operating reports, operating logs, operation and maintenance records, purchase orders, safety and maintenance manuals, incident reports, standard OSHA logs, engineering design plans, blueprints and as-built plans, records, drawings, specifications, test reports, quality documentation and reports, hazardous waste disposal records, training records, procedures and similar items, in each case: (i) in all formats in which they are reasonably and practically available, including electronic, where applicable; and (ii) in the possession or control of Seller or its Affiliates and to the extent the same relate to the Facility Real Property or the Facility, including the Facility Assets, but excluding any Excluded Assets.</w:t>
      </w:r>
    </w:p>
    <w:p w:rsidRPr="001703E6" w:rsidR="0029492C" w:rsidP="00B71D5E" w:rsidRDefault="0029492C" w14:paraId="173DDD68" w14:textId="77777777">
      <w:pPr>
        <w:pStyle w:val="zGNormalDefinition"/>
        <w:spacing w:before="120" w:after="120"/>
        <w:rPr>
          <w:spacing w:val="0"/>
          <w:sz w:val="20"/>
        </w:rPr>
      </w:pPr>
      <w:r w:rsidRPr="001703E6">
        <w:rPr>
          <w:b/>
          <w:bCs/>
          <w:spacing w:val="0"/>
          <w:sz w:val="20"/>
          <w:u w:val="single"/>
        </w:rPr>
        <w:t>Burdensome Condition</w:t>
      </w:r>
      <w:r w:rsidRPr="001703E6">
        <w:rPr>
          <w:b/>
          <w:bCs/>
          <w:spacing w:val="0"/>
          <w:sz w:val="20"/>
        </w:rPr>
        <w:t xml:space="preserve">: </w:t>
      </w:r>
      <w:r w:rsidRPr="001703E6">
        <w:rPr>
          <w:rStyle w:val="zGNormalChar"/>
        </w:rPr>
        <w:t>Any requirement, term, obligation, condition, or other measure imposed on GPC, its Affiliates, the Facility, or any of the Facility Assets by a Governmental Authority in connection with the Commission Certificate or any other Consent required to be obtained by GPC in connection with this APA or the transactions contemplated by this APA that, individually or in the aggregate with any other requirement, term, obligation, condition, or other measure: (i) requires GPC to sell, divest, or dispose of any asset or business of GPC or any of its Affiliates (including any sale of capacity or energy); (ii) would reasonably be expected to be adverse to GPC’s ability to operate the Facility, the Facility Assets, or other assets or businesses of GPC or any of its Affiliates in any material respect; (iii) would prohibit or limit the ownership of any portion of the Facility, the Facility Assets, or any other assets or businesses of GPC or any of its Affiliates; (iv) results in less than all of the Facility Assets or less than all of the Purchase Price being eligible for inclusion in GPC’s rate base, prohibits GPC from recovering the transaction costs relating to the transactions contemplated by this APA, or prohibits GPC from deferring the incremental net costs and benefits associated with the transactions contemplated by this APA between the Closing and GPC’s next rate case proceeding; (v) would involve any change to the design, administration or operation of the energy market; or (vi) would otherwise reasonably be expected to have a material adverse effect on GPC.  For purposes of clauses (ii) and (vi), GPC and its Affiliates will each be deemed to be the same size and scale of the Facility.</w:t>
      </w:r>
    </w:p>
    <w:p w:rsidRPr="001703E6" w:rsidR="00A21349" w:rsidP="00B62EAE" w:rsidRDefault="0029492C" w14:paraId="3B63A357" w14:textId="77777777">
      <w:pPr>
        <w:pStyle w:val="zGNormalDefinition"/>
        <w:rPr>
          <w:rStyle w:val="zGNormalChar"/>
        </w:rPr>
      </w:pPr>
      <w:r w:rsidRPr="001703E6">
        <w:rPr>
          <w:b/>
          <w:bCs/>
          <w:sz w:val="20"/>
          <w:u w:val="single"/>
        </w:rPr>
        <w:t>Business Day</w:t>
      </w:r>
      <w:r w:rsidRPr="001703E6">
        <w:rPr>
          <w:b/>
          <w:bCs/>
          <w:sz w:val="20"/>
        </w:rPr>
        <w:t>:</w:t>
      </w:r>
      <w:r w:rsidRPr="001703E6">
        <w:rPr>
          <w:sz w:val="20"/>
        </w:rPr>
        <w:t xml:space="preserve"> </w:t>
      </w:r>
      <w:r w:rsidRPr="001703E6">
        <w:rPr>
          <w:rStyle w:val="zGNormalChar"/>
        </w:rPr>
        <w:t>Any day excluding Saturday and Sunday and excluding any day on which banking institutions in Atlanta, Georgia are closed because of a federal holiday.</w:t>
      </w:r>
    </w:p>
    <w:p w:rsidRPr="001703E6" w:rsidR="419EA9E5" w:rsidP="00B62EAE" w:rsidRDefault="419EA9E5" w14:paraId="19F16BC5" w14:textId="77777777">
      <w:pPr>
        <w:pStyle w:val="zGNormalDefinition"/>
        <w:rPr>
          <w:sz w:val="20"/>
        </w:rPr>
      </w:pPr>
      <w:r w:rsidRPr="001703E6">
        <w:rPr>
          <w:b/>
          <w:bCs/>
          <w:sz w:val="20"/>
          <w:u w:val="single"/>
        </w:rPr>
        <w:t>Cash and Cash Equivalents</w:t>
      </w:r>
      <w:r w:rsidRPr="001703E6">
        <w:rPr>
          <w:b/>
          <w:bCs/>
          <w:sz w:val="20"/>
        </w:rPr>
        <w:t>:</w:t>
      </w:r>
      <w:r w:rsidRPr="001703E6">
        <w:rPr>
          <w:sz w:val="20"/>
        </w:rPr>
        <w:t xml:space="preserve"> </w:t>
      </w:r>
      <w:r w:rsidRPr="001703E6">
        <w:rPr>
          <w:rStyle w:val="zGNormalChar"/>
        </w:rPr>
        <w:t>Any money, currency, or a balance in a depository or money market account at a financial institution, or any money market instruments, treasury bills, short-term government bonds, or marketable securities.</w:t>
      </w:r>
    </w:p>
    <w:p w:rsidRPr="001703E6" w:rsidR="003803B1" w:rsidP="00B62EAE" w:rsidRDefault="003803B1" w14:paraId="5DC01532" w14:textId="77777777">
      <w:pPr>
        <w:pStyle w:val="zGNormalDefinition"/>
        <w:rPr>
          <w:rStyle w:val="zGNormalChar"/>
        </w:rPr>
      </w:pPr>
      <w:r w:rsidRPr="001703E6">
        <w:rPr>
          <w:b/>
          <w:bCs/>
          <w:sz w:val="20"/>
          <w:u w:val="single"/>
        </w:rPr>
        <w:t>Casualty Loss</w:t>
      </w:r>
      <w:r w:rsidRPr="001703E6">
        <w:rPr>
          <w:b/>
          <w:bCs/>
          <w:sz w:val="20"/>
        </w:rPr>
        <w:t>:</w:t>
      </w:r>
      <w:r w:rsidRPr="001703E6">
        <w:rPr>
          <w:sz w:val="20"/>
        </w:rPr>
        <w:t xml:space="preserve"> </w:t>
      </w:r>
      <w:r w:rsidRPr="001703E6">
        <w:rPr>
          <w:rStyle w:val="zGNormalChar"/>
        </w:rPr>
        <w:t>As defined in Section 5.17.1 (</w:t>
      </w:r>
      <w:r w:rsidRPr="001703E6">
        <w:rPr>
          <w:rStyle w:val="zGNormalChar"/>
          <w:i/>
          <w:iCs/>
        </w:rPr>
        <w:t>Occurrence of Casualty Loss</w:t>
      </w:r>
      <w:r w:rsidRPr="001703E6">
        <w:rPr>
          <w:rStyle w:val="zGNormalChar"/>
        </w:rPr>
        <w:t>).</w:t>
      </w:r>
    </w:p>
    <w:p w:rsidRPr="001703E6" w:rsidR="00AB379F" w:rsidP="00B62EAE" w:rsidRDefault="00AB379F" w14:paraId="2CF9F495" w14:textId="6DD41122">
      <w:pPr>
        <w:pStyle w:val="zGNormalDefinition"/>
        <w:rPr>
          <w:sz w:val="20"/>
        </w:rPr>
      </w:pPr>
      <w:r w:rsidRPr="001703E6">
        <w:rPr>
          <w:b/>
          <w:bCs/>
          <w:sz w:val="20"/>
          <w:u w:val="single"/>
        </w:rPr>
        <w:t>Claim</w:t>
      </w:r>
      <w:r w:rsidRPr="001703E6">
        <w:rPr>
          <w:b/>
          <w:bCs/>
          <w:sz w:val="20"/>
        </w:rPr>
        <w:t>:</w:t>
      </w:r>
      <w:r w:rsidRPr="001703E6">
        <w:rPr>
          <w:sz w:val="20"/>
        </w:rPr>
        <w:t xml:space="preserve"> </w:t>
      </w:r>
      <w:r w:rsidRPr="001703E6">
        <w:rPr>
          <w:rStyle w:val="zGNormalChar"/>
        </w:rPr>
        <w:t>Any loss, damage, cost, expense, or Liability (on an After-Tax Basis) for any damage or claim (including any demand, suit, settlement, judgment, penalty, fine, proceeding, or action of any kind)</w:t>
      </w:r>
      <w:r w:rsidRPr="001703E6" w:rsidR="00560613">
        <w:rPr>
          <w:rStyle w:val="zGNormalChar"/>
        </w:rPr>
        <w:t>, including</w:t>
      </w:r>
      <w:r w:rsidRPr="001703E6">
        <w:rPr>
          <w:rStyle w:val="zGNormalChar"/>
        </w:rPr>
        <w:t xml:space="preserve"> for: (i) personal or bodily injury (including death); (ii) property damage (including loss of use); (i</w:t>
      </w:r>
      <w:r w:rsidR="00FB09AB">
        <w:rPr>
          <w:rStyle w:val="zGNormalChar"/>
        </w:rPr>
        <w:t>ii</w:t>
      </w:r>
      <w:r w:rsidRPr="001703E6">
        <w:rPr>
          <w:rStyle w:val="zGNormalChar"/>
        </w:rPr>
        <w:t>) infringement; (</w:t>
      </w:r>
      <w:r w:rsidR="00FB09AB">
        <w:rPr>
          <w:rStyle w:val="zGNormalChar"/>
        </w:rPr>
        <w:t>i</w:t>
      </w:r>
      <w:r w:rsidRPr="001703E6">
        <w:rPr>
          <w:rStyle w:val="zGNormalChar"/>
        </w:rPr>
        <w:t>v) monetary damage or expense; or (v) equitable relief, including all Claim expenses (e.g., actual attorneys’ fees reasonably incurred; investigation, defense, litigation, court, arbitration, or mediation costs; and expert, consultant, arbitrator, or mediator fees or expenses and bond expense).</w:t>
      </w:r>
    </w:p>
    <w:p w:rsidRPr="001703E6" w:rsidR="002E2FE5" w:rsidP="00B71D5E" w:rsidRDefault="0029492C" w14:paraId="0C28D4AB" w14:textId="77777777">
      <w:pPr>
        <w:pStyle w:val="zGNormalDefinition"/>
        <w:spacing w:before="120" w:after="120"/>
        <w:rPr>
          <w:spacing w:val="0"/>
          <w:sz w:val="20"/>
        </w:rPr>
      </w:pPr>
      <w:r w:rsidRPr="001703E6">
        <w:rPr>
          <w:b/>
          <w:bCs/>
          <w:spacing w:val="0"/>
          <w:sz w:val="20"/>
          <w:u w:val="single"/>
        </w:rPr>
        <w:t>Closing</w:t>
      </w:r>
      <w:r w:rsidRPr="001703E6">
        <w:rPr>
          <w:b/>
          <w:bCs/>
          <w:spacing w:val="0"/>
          <w:sz w:val="20"/>
        </w:rPr>
        <w:t>:</w:t>
      </w:r>
      <w:r w:rsidRPr="001703E6">
        <w:rPr>
          <w:spacing w:val="0"/>
          <w:sz w:val="20"/>
        </w:rPr>
        <w:t xml:space="preserve"> </w:t>
      </w:r>
      <w:r w:rsidRPr="001703E6">
        <w:rPr>
          <w:rStyle w:val="zGNormalChar"/>
        </w:rPr>
        <w:t>As defined in Section 2.1.1 (</w:t>
      </w:r>
      <w:r w:rsidRPr="001703E6">
        <w:rPr>
          <w:rStyle w:val="zGNormalChar"/>
          <w:i/>
          <w:iCs/>
        </w:rPr>
        <w:t>Closing Date</w:t>
      </w:r>
      <w:r w:rsidRPr="001703E6">
        <w:rPr>
          <w:rStyle w:val="zGNormalChar"/>
        </w:rPr>
        <w:t>).</w:t>
      </w:r>
    </w:p>
    <w:p w:rsidRPr="001703E6" w:rsidR="0029492C" w:rsidP="00B71D5E" w:rsidRDefault="0029492C" w14:paraId="1573641D" w14:textId="516F84EF">
      <w:pPr>
        <w:pStyle w:val="zGNormalDefinition"/>
        <w:spacing w:before="120" w:after="120"/>
        <w:rPr>
          <w:spacing w:val="0"/>
          <w:sz w:val="20"/>
        </w:rPr>
      </w:pPr>
      <w:r w:rsidRPr="001703E6">
        <w:rPr>
          <w:b/>
          <w:bCs/>
          <w:spacing w:val="0"/>
          <w:sz w:val="20"/>
          <w:u w:val="single"/>
        </w:rPr>
        <w:t>Closing Date</w:t>
      </w:r>
      <w:r w:rsidRPr="001703E6">
        <w:rPr>
          <w:b/>
          <w:bCs/>
          <w:spacing w:val="0"/>
          <w:sz w:val="20"/>
        </w:rPr>
        <w:t>:</w:t>
      </w:r>
      <w:r w:rsidRPr="001703E6">
        <w:rPr>
          <w:spacing w:val="0"/>
          <w:sz w:val="20"/>
        </w:rPr>
        <w:t xml:space="preserve"> </w:t>
      </w:r>
      <w:r w:rsidRPr="001703E6">
        <w:rPr>
          <w:rStyle w:val="zGNormalChar"/>
        </w:rPr>
        <w:t>The date the Closing occurs.</w:t>
      </w:r>
    </w:p>
    <w:p w:rsidRPr="001703E6" w:rsidR="000F6FBE" w:rsidP="00B71D5E" w:rsidRDefault="000F6FBE" w14:paraId="06D464A9" w14:textId="77777777">
      <w:pPr>
        <w:pStyle w:val="zGNormalDefinition"/>
        <w:spacing w:before="120" w:after="120"/>
        <w:rPr>
          <w:spacing w:val="0"/>
          <w:sz w:val="20"/>
        </w:rPr>
      </w:pPr>
      <w:r w:rsidRPr="001703E6">
        <w:rPr>
          <w:b/>
          <w:sz w:val="20"/>
          <w:u w:val="single"/>
        </w:rPr>
        <w:t xml:space="preserve">Closing Date </w:t>
      </w:r>
      <w:r w:rsidRPr="001703E6">
        <w:rPr>
          <w:b/>
          <w:bCs/>
          <w:sz w:val="20"/>
          <w:u w:val="single"/>
        </w:rPr>
        <w:t>Letter</w:t>
      </w:r>
      <w:r w:rsidRPr="001703E6">
        <w:rPr>
          <w:b/>
          <w:sz w:val="20"/>
          <w:u w:val="single"/>
        </w:rPr>
        <w:t xml:space="preserve"> of Credit</w:t>
      </w:r>
      <w:r w:rsidRPr="001703E6">
        <w:rPr>
          <w:b/>
          <w:bCs/>
          <w:sz w:val="20"/>
        </w:rPr>
        <w:t>:</w:t>
      </w:r>
      <w:r w:rsidRPr="001703E6">
        <w:rPr>
          <w:sz w:val="20"/>
        </w:rPr>
        <w:t xml:space="preserve"> </w:t>
      </w:r>
      <w:r w:rsidRPr="001703E6">
        <w:rPr>
          <w:rStyle w:val="zGNormalChar"/>
        </w:rPr>
        <w:t>A Letter of Credit delivered by Seller to GPC on the Closing Date to secure post-Closing liabilities.</w:t>
      </w:r>
    </w:p>
    <w:p w:rsidRPr="001703E6" w:rsidR="00426055" w:rsidP="00426055" w:rsidRDefault="00426055" w14:paraId="1D265CBF" w14:textId="1C1500DE">
      <w:pPr>
        <w:pStyle w:val="zGNormalDefinition"/>
        <w:spacing w:before="120" w:after="120"/>
        <w:rPr>
          <w:spacing w:val="0"/>
          <w:sz w:val="20"/>
        </w:rPr>
      </w:pPr>
      <w:r w:rsidRPr="001703E6">
        <w:rPr>
          <w:b/>
          <w:sz w:val="20"/>
          <w:u w:val="single"/>
        </w:rPr>
        <w:t>Closing Date Working Capital</w:t>
      </w:r>
      <w:r w:rsidRPr="001703E6">
        <w:rPr>
          <w:b/>
          <w:sz w:val="20"/>
        </w:rPr>
        <w:t>:</w:t>
      </w:r>
      <w:r w:rsidRPr="001703E6">
        <w:rPr>
          <w:sz w:val="20"/>
        </w:rPr>
        <w:t xml:space="preserve"> </w:t>
      </w:r>
      <w:r w:rsidRPr="001703E6">
        <w:rPr>
          <w:rStyle w:val="zGNormalChar"/>
        </w:rPr>
        <w:t xml:space="preserve">The result (which may be positive or negative), determined as of the Closing Date, of: (i) the current assets included among the </w:t>
      </w:r>
      <w:r w:rsidRPr="001703E6" w:rsidR="00A04F82">
        <w:rPr>
          <w:rStyle w:val="zGNormalChar"/>
        </w:rPr>
        <w:t>Facility</w:t>
      </w:r>
      <w:r w:rsidRPr="001703E6">
        <w:rPr>
          <w:rStyle w:val="zGNormalChar"/>
        </w:rPr>
        <w:t xml:space="preserve"> Assets transferred to GPC at Closing; </w:t>
      </w:r>
      <w:r w:rsidRPr="001703E6">
        <w:rPr>
          <w:rStyle w:val="zGNormalChar"/>
          <w:i/>
          <w:iCs/>
        </w:rPr>
        <w:t>minus</w:t>
      </w:r>
      <w:r w:rsidRPr="001703E6">
        <w:rPr>
          <w:rStyle w:val="zGNormalChar"/>
        </w:rPr>
        <w:t xml:space="preserve"> (ii) the current liabilities included among the Assumed Liabilities, in each case determined in accordance with GAAP applied on a basis consistent with past practice of Seller and in accordance with the line items and methodologies set forth on Exhibit I (</w:t>
      </w:r>
      <w:r w:rsidRPr="001703E6">
        <w:rPr>
          <w:rStyle w:val="zGNormalChar"/>
          <w:i/>
          <w:iCs/>
        </w:rPr>
        <w:t>Closing Date Working Capital Methodolog</w:t>
      </w:r>
      <w:r w:rsidRPr="001703E6" w:rsidR="005B0D94">
        <w:rPr>
          <w:rStyle w:val="zGNormalChar"/>
          <w:i/>
          <w:iCs/>
        </w:rPr>
        <w:t>y</w:t>
      </w:r>
      <w:r w:rsidRPr="001703E6">
        <w:rPr>
          <w:rStyle w:val="zGNormalChar"/>
        </w:rPr>
        <w:t>). If there is any conflict between GAAP and the line items or methodologies set forth on Exhibit I, the line items and methodologies set forth on Exhibit I will control.</w:t>
      </w:r>
      <w:r w:rsidRPr="001703E6">
        <w:rPr>
          <w:sz w:val="20"/>
        </w:rPr>
        <w:t xml:space="preserve">   </w:t>
      </w:r>
    </w:p>
    <w:p w:rsidRPr="001703E6" w:rsidR="00426055" w:rsidP="00B71D5E" w:rsidRDefault="00426055" w14:paraId="63C0CB73" w14:textId="77777777">
      <w:pPr>
        <w:pStyle w:val="zGNormalDefinition"/>
        <w:spacing w:before="120" w:after="120"/>
        <w:rPr>
          <w:rStyle w:val="zGNormalChar"/>
        </w:rPr>
      </w:pPr>
      <w:r w:rsidRPr="001703E6">
        <w:rPr>
          <w:b/>
          <w:sz w:val="20"/>
          <w:u w:val="single"/>
        </w:rPr>
        <w:t>Closing Purchase Price</w:t>
      </w:r>
      <w:r w:rsidRPr="001703E6">
        <w:rPr>
          <w:b/>
          <w:bCs/>
          <w:sz w:val="20"/>
        </w:rPr>
        <w:t>:</w:t>
      </w:r>
      <w:r w:rsidRPr="001703E6">
        <w:rPr>
          <w:sz w:val="20"/>
        </w:rPr>
        <w:t xml:space="preserve"> </w:t>
      </w:r>
      <w:r w:rsidRPr="001703E6">
        <w:rPr>
          <w:rStyle w:val="zGNormalChar"/>
        </w:rPr>
        <w:t>As defined in Section 2.1.2 (</w:t>
      </w:r>
      <w:r w:rsidRPr="001703E6">
        <w:rPr>
          <w:rStyle w:val="zGNormalChar"/>
          <w:i/>
          <w:iCs/>
        </w:rPr>
        <w:t>Payment of Purchase Price; Closing Deliveries</w:t>
      </w:r>
      <w:r w:rsidRPr="001703E6">
        <w:rPr>
          <w:rStyle w:val="zGNormalChar"/>
        </w:rPr>
        <w:t>).</w:t>
      </w:r>
    </w:p>
    <w:p w:rsidRPr="001703E6" w:rsidR="0029492C" w:rsidP="00B71D5E" w:rsidRDefault="0029492C" w14:paraId="7649E03A" w14:textId="77777777">
      <w:pPr>
        <w:pStyle w:val="zGNormalDefinition"/>
        <w:spacing w:before="120" w:after="120"/>
        <w:rPr>
          <w:spacing w:val="0"/>
          <w:sz w:val="20"/>
        </w:rPr>
      </w:pPr>
      <w:r w:rsidRPr="001703E6">
        <w:rPr>
          <w:b/>
          <w:bCs/>
          <w:spacing w:val="0"/>
          <w:sz w:val="20"/>
          <w:u w:val="single"/>
        </w:rPr>
        <w:t>Closing Title Endorsements</w:t>
      </w:r>
      <w:r w:rsidRPr="001703E6">
        <w:rPr>
          <w:b/>
          <w:bCs/>
          <w:spacing w:val="0"/>
          <w:sz w:val="20"/>
        </w:rPr>
        <w:t>:</w:t>
      </w:r>
      <w:r w:rsidRPr="001703E6">
        <w:rPr>
          <w:spacing w:val="0"/>
          <w:sz w:val="20"/>
        </w:rPr>
        <w:t xml:space="preserve"> </w:t>
      </w:r>
      <w:r w:rsidRPr="001703E6">
        <w:rPr>
          <w:rStyle w:val="zGNormalChar"/>
        </w:rPr>
        <w:t>The title insurance endorsements in substantially the forms listed in Exhibit G (</w:t>
      </w:r>
      <w:r w:rsidRPr="001703E6">
        <w:rPr>
          <w:rStyle w:val="zGNormalChar"/>
          <w:i/>
          <w:iCs/>
        </w:rPr>
        <w:t xml:space="preserve">Closing </w:t>
      </w:r>
      <w:r w:rsidRPr="001703E6">
        <w:rPr>
          <w:rStyle w:val="zGNormalChar"/>
          <w:i/>
          <w:iCs/>
        </w:rPr>
        <w:lastRenderedPageBreak/>
        <w:t>Title Endorsements</w:t>
      </w:r>
      <w:r w:rsidRPr="001703E6">
        <w:rPr>
          <w:rStyle w:val="zGNormalChar"/>
        </w:rPr>
        <w:t>), together with any other endorsement GPC may reasonably require following its review of the Updated Surveys, and any preliminary title commitment or report prepared by the Title Company with respect to the Facility Real Property.</w:t>
      </w:r>
    </w:p>
    <w:p w:rsidRPr="001703E6" w:rsidR="0029492C" w:rsidP="00B71D5E" w:rsidRDefault="0029492C" w14:paraId="0B2C0F07" w14:textId="77777777">
      <w:pPr>
        <w:pStyle w:val="zGNormalDefinition"/>
        <w:spacing w:before="120" w:after="120"/>
        <w:rPr>
          <w:spacing w:val="0"/>
          <w:sz w:val="20"/>
        </w:rPr>
      </w:pPr>
      <w:r w:rsidRPr="001703E6">
        <w:rPr>
          <w:b/>
          <w:bCs/>
          <w:spacing w:val="0"/>
          <w:sz w:val="20"/>
          <w:u w:val="single"/>
        </w:rPr>
        <w:t>Code</w:t>
      </w:r>
      <w:r w:rsidRPr="001703E6">
        <w:rPr>
          <w:b/>
          <w:bCs/>
          <w:spacing w:val="0"/>
          <w:sz w:val="20"/>
        </w:rPr>
        <w:t>:</w:t>
      </w:r>
      <w:r w:rsidRPr="001703E6">
        <w:rPr>
          <w:spacing w:val="0"/>
          <w:sz w:val="20"/>
        </w:rPr>
        <w:t xml:space="preserve"> </w:t>
      </w:r>
      <w:r w:rsidRPr="001703E6">
        <w:rPr>
          <w:rStyle w:val="zGNormalChar"/>
        </w:rPr>
        <w:t>The Internal Revenue Code of 1986, as amended.</w:t>
      </w:r>
    </w:p>
    <w:p w:rsidRPr="001703E6" w:rsidR="00375AE6" w:rsidP="00B71D5E" w:rsidRDefault="00375AE6" w14:paraId="3449400F" w14:textId="77777777">
      <w:pPr>
        <w:pStyle w:val="zGNormalDefinition"/>
        <w:spacing w:before="120" w:after="120"/>
        <w:rPr>
          <w:spacing w:val="0"/>
          <w:sz w:val="20"/>
        </w:rPr>
      </w:pPr>
      <w:r w:rsidRPr="001703E6">
        <w:rPr>
          <w:b/>
          <w:bCs/>
          <w:spacing w:val="0"/>
          <w:sz w:val="20"/>
          <w:u w:val="single"/>
        </w:rPr>
        <w:t>Commission</w:t>
      </w:r>
      <w:r w:rsidRPr="001703E6">
        <w:rPr>
          <w:b/>
          <w:bCs/>
          <w:spacing w:val="0"/>
          <w:sz w:val="20"/>
        </w:rPr>
        <w:t>:</w:t>
      </w:r>
      <w:r w:rsidRPr="001703E6">
        <w:rPr>
          <w:spacing w:val="0"/>
          <w:sz w:val="20"/>
        </w:rPr>
        <w:t xml:space="preserve"> </w:t>
      </w:r>
      <w:r w:rsidRPr="001703E6">
        <w:rPr>
          <w:rStyle w:val="zGNormalChar"/>
        </w:rPr>
        <w:t>The Georgia Public Service Commission, or any Governmental Authority succeeding to the powers and functions of the Commission.</w:t>
      </w:r>
    </w:p>
    <w:p w:rsidRPr="001703E6" w:rsidR="00E021C9" w:rsidP="00B71D5E" w:rsidRDefault="00E021C9" w14:paraId="792B41FB" w14:textId="77777777">
      <w:pPr>
        <w:pStyle w:val="zGNormalDefinition"/>
        <w:spacing w:before="120" w:after="120"/>
        <w:rPr>
          <w:b/>
          <w:bCs/>
          <w:spacing w:val="0"/>
          <w:sz w:val="20"/>
          <w:u w:val="single"/>
        </w:rPr>
      </w:pPr>
      <w:r w:rsidRPr="001703E6">
        <w:rPr>
          <w:b/>
          <w:bCs/>
          <w:spacing w:val="0"/>
          <w:sz w:val="20"/>
          <w:u w:val="single"/>
        </w:rPr>
        <w:t>Commission Certificate</w:t>
      </w:r>
      <w:r w:rsidRPr="001703E6">
        <w:rPr>
          <w:b/>
          <w:bCs/>
          <w:spacing w:val="0"/>
          <w:sz w:val="20"/>
        </w:rPr>
        <w:t>:</w:t>
      </w:r>
      <w:r w:rsidRPr="001703E6">
        <w:rPr>
          <w:spacing w:val="0"/>
          <w:sz w:val="20"/>
        </w:rPr>
        <w:t xml:space="preserve"> </w:t>
      </w:r>
      <w:r w:rsidRPr="001703E6">
        <w:rPr>
          <w:rStyle w:val="zGNormalChar"/>
        </w:rPr>
        <w:t>Certificate of Public Convenience and Necessity for this APA issued by the Commission.</w:t>
      </w:r>
    </w:p>
    <w:p w:rsidRPr="001703E6" w:rsidR="00C516AB" w:rsidP="00B62EAE" w:rsidRDefault="0029492C" w14:paraId="0B8F45C7" w14:textId="77777777">
      <w:pPr>
        <w:pStyle w:val="zGNormalDefinition"/>
        <w:rPr>
          <w:sz w:val="20"/>
        </w:rPr>
      </w:pPr>
      <w:r w:rsidRPr="001703E6">
        <w:rPr>
          <w:b/>
          <w:bCs/>
          <w:sz w:val="20"/>
          <w:u w:val="single"/>
        </w:rPr>
        <w:t>Confidential Information</w:t>
      </w:r>
      <w:r w:rsidRPr="001703E6">
        <w:rPr>
          <w:b/>
          <w:bCs/>
          <w:sz w:val="20"/>
        </w:rPr>
        <w:t>:</w:t>
      </w:r>
      <w:r w:rsidRPr="001703E6">
        <w:rPr>
          <w:sz w:val="20"/>
        </w:rPr>
        <w:t xml:space="preserve"> </w:t>
      </w:r>
      <w:r w:rsidRPr="001703E6">
        <w:rPr>
          <w:rStyle w:val="zGNormalChar"/>
        </w:rPr>
        <w:t>Business or technical information rightfully in the possession of either Party that derives actual or potential commercial value from not being generally known or readily ascertainable through independent development or reverse engineering by any Person who can obtain economic value from its disclosure or use, including information furnished or disclosed to the other Party in connection with discussions leading up to execution of this APA, including this APA. Seller must designate Confidential Information as confidential in writing on each page of a document contemporaneously with Seller’s supply of the information to GPC. Confidential Information does not include information that: (i) is or becomes publicly available other than because of a violation of this APA; (ii) was, at the time of the disclosure, already in receiving party’s possession; (iii) is disclosed to receiving party by a third party who, to receiving party’s knowledge, is not prohibited from disclosing the information under any agreement; (iv) receiving party develops or derives without the aid, application, or use of the privileged or proprietary information; or (v) receiving party is required to disclose pursuant in accordance with applicable law.</w:t>
      </w:r>
    </w:p>
    <w:p w:rsidRPr="001703E6" w:rsidR="0029492C" w:rsidP="00B71D5E" w:rsidRDefault="0029492C" w14:paraId="1274A60F" w14:textId="4AD065D8">
      <w:pPr>
        <w:pStyle w:val="zGNormalDefinition"/>
        <w:spacing w:before="120" w:after="120"/>
        <w:rPr>
          <w:spacing w:val="0"/>
          <w:sz w:val="20"/>
        </w:rPr>
      </w:pPr>
      <w:r w:rsidRPr="001703E6">
        <w:rPr>
          <w:b/>
          <w:bCs/>
          <w:spacing w:val="0"/>
          <w:sz w:val="20"/>
          <w:u w:val="single"/>
        </w:rPr>
        <w:t>Consent</w:t>
      </w:r>
      <w:r w:rsidRPr="001703E6">
        <w:rPr>
          <w:b/>
          <w:bCs/>
          <w:spacing w:val="0"/>
          <w:sz w:val="20"/>
        </w:rPr>
        <w:t>:</w:t>
      </w:r>
      <w:r w:rsidRPr="001703E6">
        <w:rPr>
          <w:spacing w:val="0"/>
          <w:sz w:val="20"/>
        </w:rPr>
        <w:t xml:space="preserve"> </w:t>
      </w:r>
      <w:r w:rsidRPr="001703E6">
        <w:rPr>
          <w:rStyle w:val="zGNormalChar"/>
        </w:rPr>
        <w:t>Any approval, consent, authorization, or other applicable requirement regarding the Facility</w:t>
      </w:r>
      <w:r w:rsidRPr="001703E6" w:rsidR="00472703">
        <w:rPr>
          <w:rStyle w:val="zGNormalChar"/>
        </w:rPr>
        <w:t>, the Facility Assets,</w:t>
      </w:r>
      <w:r w:rsidRPr="001703E6">
        <w:rPr>
          <w:rStyle w:val="zGNormalChar"/>
        </w:rPr>
        <w:t xml:space="preserve"> or this APA from any Governmental Authority, including all applicable environmental certificates, licenses, permits, and approvals</w:t>
      </w:r>
      <w:r w:rsidRPr="001703E6" w:rsidR="001F5815">
        <w:rPr>
          <w:rStyle w:val="zGNormalChar"/>
        </w:rPr>
        <w:t>,</w:t>
      </w:r>
      <w:r w:rsidRPr="001703E6">
        <w:rPr>
          <w:rStyle w:val="zGNormalChar"/>
        </w:rPr>
        <w:t xml:space="preserve"> and </w:t>
      </w:r>
      <w:r w:rsidRPr="001703E6" w:rsidR="006B1C97">
        <w:rPr>
          <w:rStyle w:val="zGNormalChar"/>
        </w:rPr>
        <w:t xml:space="preserve">applicable </w:t>
      </w:r>
      <w:r w:rsidRPr="001703E6">
        <w:rPr>
          <w:rStyle w:val="zGNormalChar"/>
        </w:rPr>
        <w:t>federal or state compliance program</w:t>
      </w:r>
      <w:r w:rsidRPr="001703E6" w:rsidR="006B1C97">
        <w:rPr>
          <w:rStyle w:val="zGNormalChar"/>
        </w:rPr>
        <w:t>s</w:t>
      </w:r>
      <w:r w:rsidRPr="001703E6">
        <w:rPr>
          <w:rStyle w:val="zGNormalChar"/>
        </w:rPr>
        <w:t>.</w:t>
      </w:r>
    </w:p>
    <w:p w:rsidRPr="001703E6" w:rsidR="0029492C" w:rsidP="000D7666" w:rsidRDefault="0029492C" w14:paraId="20133ADC" w14:textId="77777777">
      <w:pPr>
        <w:pStyle w:val="zGNormalDefinition"/>
        <w:widowControl/>
        <w:spacing w:before="120" w:after="120"/>
        <w:rPr>
          <w:spacing w:val="0"/>
          <w:sz w:val="20"/>
        </w:rPr>
      </w:pPr>
      <w:r w:rsidRPr="001703E6">
        <w:rPr>
          <w:b/>
          <w:bCs/>
          <w:spacing w:val="0"/>
          <w:sz w:val="20"/>
          <w:u w:val="single"/>
        </w:rPr>
        <w:t>Contract</w:t>
      </w:r>
      <w:r w:rsidRPr="001703E6">
        <w:rPr>
          <w:b/>
          <w:bCs/>
          <w:spacing w:val="0"/>
          <w:sz w:val="20"/>
        </w:rPr>
        <w:t>:</w:t>
      </w:r>
      <w:r w:rsidRPr="001703E6">
        <w:rPr>
          <w:spacing w:val="0"/>
          <w:sz w:val="20"/>
        </w:rPr>
        <w:t xml:space="preserve"> </w:t>
      </w:r>
      <w:r w:rsidRPr="001703E6">
        <w:rPr>
          <w:rStyle w:val="zGNormalChar"/>
        </w:rPr>
        <w:t>Any oral or written contract, lease, sublease, use or occupancy agreement, license (other than a Permit), evidence of indebtedness, mortgage, indenture, purchase order, binding bid, letter of credit, security agreement, undertaking, or other agreement that is legally binding.</w:t>
      </w:r>
    </w:p>
    <w:p w:rsidRPr="001703E6" w:rsidR="0029492C" w:rsidP="00B71D5E" w:rsidRDefault="0029492C" w14:paraId="1CC5C03F" w14:textId="77777777">
      <w:pPr>
        <w:pStyle w:val="zGNormalDefinition"/>
        <w:spacing w:before="120" w:after="120"/>
        <w:rPr>
          <w:rStyle w:val="zGNormalChar"/>
        </w:rPr>
      </w:pPr>
      <w:r w:rsidRPr="001703E6">
        <w:rPr>
          <w:b/>
          <w:bCs/>
          <w:spacing w:val="0"/>
          <w:sz w:val="20"/>
          <w:u w:val="single"/>
        </w:rPr>
        <w:t>Contract Consent</w:t>
      </w:r>
      <w:r w:rsidRPr="001703E6">
        <w:rPr>
          <w:b/>
          <w:bCs/>
          <w:spacing w:val="0"/>
          <w:sz w:val="20"/>
        </w:rPr>
        <w:t>:</w:t>
      </w:r>
      <w:r w:rsidRPr="001703E6">
        <w:rPr>
          <w:spacing w:val="0"/>
          <w:sz w:val="20"/>
        </w:rPr>
        <w:t xml:space="preserve"> </w:t>
      </w:r>
      <w:r w:rsidRPr="001703E6">
        <w:rPr>
          <w:rStyle w:val="zGNormalChar"/>
        </w:rPr>
        <w:t>As defined in Section 5.13.1 (</w:t>
      </w:r>
      <w:r w:rsidRPr="001703E6">
        <w:rPr>
          <w:rStyle w:val="zGNormalChar"/>
          <w:i/>
          <w:iCs/>
        </w:rPr>
        <w:t>Facility Contracts</w:t>
      </w:r>
      <w:r w:rsidRPr="001703E6">
        <w:rPr>
          <w:rStyle w:val="zGNormalChar"/>
        </w:rPr>
        <w:t>).</w:t>
      </w:r>
    </w:p>
    <w:p w:rsidRPr="001703E6" w:rsidR="0029492C" w:rsidP="00B71D5E" w:rsidRDefault="0029492C" w14:paraId="696CFECF" w14:textId="77777777">
      <w:pPr>
        <w:pStyle w:val="zGNormalDefinition"/>
        <w:spacing w:before="120" w:after="120"/>
        <w:rPr>
          <w:spacing w:val="0"/>
          <w:sz w:val="20"/>
        </w:rPr>
      </w:pPr>
      <w:r w:rsidRPr="001703E6">
        <w:rPr>
          <w:b/>
          <w:bCs/>
          <w:spacing w:val="0"/>
          <w:sz w:val="20"/>
          <w:u w:val="single"/>
        </w:rPr>
        <w:t>Counterparty</w:t>
      </w:r>
      <w:r w:rsidRPr="001703E6">
        <w:rPr>
          <w:b/>
          <w:bCs/>
          <w:spacing w:val="0"/>
          <w:sz w:val="20"/>
        </w:rPr>
        <w:t>:</w:t>
      </w:r>
      <w:r w:rsidRPr="001703E6">
        <w:rPr>
          <w:spacing w:val="0"/>
          <w:sz w:val="20"/>
        </w:rPr>
        <w:t xml:space="preserve"> </w:t>
      </w:r>
      <w:r w:rsidRPr="001703E6">
        <w:rPr>
          <w:rStyle w:val="zGNormalChar"/>
        </w:rPr>
        <w:t>As defined in Section 5.13.1 (</w:t>
      </w:r>
      <w:r w:rsidRPr="001703E6">
        <w:rPr>
          <w:rStyle w:val="zGNormalChar"/>
          <w:i/>
          <w:iCs/>
        </w:rPr>
        <w:t>Facility Contracts</w:t>
      </w:r>
      <w:r w:rsidRPr="001703E6">
        <w:rPr>
          <w:rStyle w:val="zGNormalChar"/>
        </w:rPr>
        <w:t>).</w:t>
      </w:r>
    </w:p>
    <w:p w:rsidRPr="001703E6" w:rsidR="001A6419" w:rsidP="00B71D5E" w:rsidRDefault="001A6419" w14:paraId="157847CF" w14:textId="5E4BF1C7">
      <w:pPr>
        <w:pStyle w:val="zGNormalDefinition"/>
        <w:widowControl/>
        <w:spacing w:before="120" w:after="120"/>
        <w:rPr>
          <w:spacing w:val="0"/>
          <w:sz w:val="20"/>
        </w:rPr>
      </w:pPr>
      <w:r w:rsidRPr="001703E6">
        <w:rPr>
          <w:b/>
          <w:spacing w:val="0"/>
          <w:sz w:val="20"/>
          <w:u w:val="single"/>
        </w:rPr>
        <w:t>Creditworthy</w:t>
      </w:r>
      <w:r w:rsidRPr="001703E6">
        <w:rPr>
          <w:b/>
          <w:bCs/>
          <w:spacing w:val="0"/>
          <w:sz w:val="20"/>
        </w:rPr>
        <w:t>:</w:t>
      </w:r>
      <w:r w:rsidRPr="001703E6">
        <w:rPr>
          <w:spacing w:val="0"/>
          <w:sz w:val="20"/>
        </w:rPr>
        <w:t xml:space="preserve"> </w:t>
      </w:r>
      <w:r w:rsidR="00957F3C">
        <w:rPr>
          <w:rStyle w:val="zGNormalChar"/>
        </w:rPr>
        <w:t>With respect to a</w:t>
      </w:r>
      <w:r w:rsidRPr="001703E6">
        <w:rPr>
          <w:rStyle w:val="zGNormalChar"/>
        </w:rPr>
        <w:t xml:space="preserve"> Person</w:t>
      </w:r>
      <w:r w:rsidR="00957F3C">
        <w:rPr>
          <w:rStyle w:val="zGNormalChar"/>
        </w:rPr>
        <w:t>, the Person has</w:t>
      </w:r>
      <w:r w:rsidRPr="001703E6">
        <w:rPr>
          <w:rStyle w:val="zGNormalChar"/>
        </w:rPr>
        <w:t>: (</w:t>
      </w:r>
      <w:proofErr w:type="spellStart"/>
      <w:r w:rsidRPr="001703E6">
        <w:rPr>
          <w:rStyle w:val="zGNormalChar"/>
        </w:rPr>
        <w:t>i</w:t>
      </w:r>
      <w:proofErr w:type="spellEnd"/>
      <w:r w:rsidRPr="001703E6">
        <w:rPr>
          <w:rStyle w:val="zGNormalChar"/>
        </w:rPr>
        <w:t>) a</w:t>
      </w:r>
      <w:r w:rsidR="001C0E57">
        <w:rPr>
          <w:rStyle w:val="zGNormalChar"/>
        </w:rPr>
        <w:t xml:space="preserve"> senior unsecured debt rating,</w:t>
      </w:r>
      <w:r w:rsidRPr="001703E6">
        <w:rPr>
          <w:rStyle w:val="zGNormalChar"/>
        </w:rPr>
        <w:t xml:space="preserve"> </w:t>
      </w:r>
      <w:r w:rsidR="00AB1011">
        <w:rPr>
          <w:rStyle w:val="zGNormalChar"/>
        </w:rPr>
        <w:t xml:space="preserve">or </w:t>
      </w:r>
      <w:r w:rsidRPr="001703E6">
        <w:rPr>
          <w:rStyle w:val="zGNormalChar"/>
        </w:rPr>
        <w:t xml:space="preserve">if </w:t>
      </w:r>
      <w:r w:rsidR="00AB1011">
        <w:rPr>
          <w:rStyle w:val="zGNormalChar"/>
        </w:rPr>
        <w:t>the</w:t>
      </w:r>
      <w:r w:rsidRPr="001703E6" w:rsidR="00AB1011">
        <w:rPr>
          <w:rStyle w:val="zGNormalChar"/>
        </w:rPr>
        <w:t xml:space="preserve"> </w:t>
      </w:r>
      <w:r w:rsidRPr="001703E6">
        <w:rPr>
          <w:rStyle w:val="zGNormalChar"/>
        </w:rPr>
        <w:t>Person has no senior unsecured debt rating</w:t>
      </w:r>
      <w:r w:rsidR="00AB1011">
        <w:rPr>
          <w:rStyle w:val="zGNormalChar"/>
        </w:rPr>
        <w:t xml:space="preserve">, an issuer rating from </w:t>
      </w:r>
      <w:proofErr w:type="spellStart"/>
      <w:r w:rsidR="00AB1011">
        <w:rPr>
          <w:rStyle w:val="zGNormalChar"/>
        </w:rPr>
        <w:t>at</w:t>
      </w:r>
      <w:proofErr w:type="spellEnd"/>
      <w:r w:rsidR="00AB1011">
        <w:rPr>
          <w:rStyle w:val="zGNormalChar"/>
        </w:rPr>
        <w:t xml:space="preserve"> </w:t>
      </w:r>
      <w:proofErr w:type="spellStart"/>
      <w:r w:rsidR="00AB1011">
        <w:rPr>
          <w:rStyle w:val="zGNormalChar"/>
        </w:rPr>
        <w:t>to</w:t>
      </w:r>
      <w:proofErr w:type="spellEnd"/>
      <w:r w:rsidR="00AB1011">
        <w:rPr>
          <w:rStyle w:val="zGNormalChar"/>
        </w:rPr>
        <w:t xml:space="preserve"> of the Rating Agencies above</w:t>
      </w:r>
      <w:r w:rsidRPr="001703E6">
        <w:rPr>
          <w:rStyle w:val="zGNormalChar"/>
        </w:rPr>
        <w:t>: (a) BBB</w:t>
      </w:r>
      <w:r w:rsidR="00312614">
        <w:rPr>
          <w:rStyle w:val="zGNormalChar"/>
        </w:rPr>
        <w:t>+</w:t>
      </w:r>
      <w:r w:rsidRPr="001703E6">
        <w:rPr>
          <w:rStyle w:val="zGNormalChar"/>
        </w:rPr>
        <w:t xml:space="preserve"> by S&amp;P, if rated by S&amp;P; (b) Baa</w:t>
      </w:r>
      <w:r w:rsidR="00312614">
        <w:rPr>
          <w:rStyle w:val="zGNormalChar"/>
        </w:rPr>
        <w:t>1</w:t>
      </w:r>
      <w:r w:rsidRPr="001703E6">
        <w:rPr>
          <w:rStyle w:val="zGNormalChar"/>
        </w:rPr>
        <w:t xml:space="preserve"> by Moody’s, if rated by Moody’s; and (c) BBB</w:t>
      </w:r>
      <w:r w:rsidR="00312614">
        <w:rPr>
          <w:rStyle w:val="zGNormalChar"/>
        </w:rPr>
        <w:t>+</w:t>
      </w:r>
      <w:r w:rsidRPr="001703E6">
        <w:rPr>
          <w:rStyle w:val="zGNormalChar"/>
        </w:rPr>
        <w:t xml:space="preserve"> by Fitch, if rated by Fitch, respectively</w:t>
      </w:r>
      <w:r w:rsidR="00312614">
        <w:rPr>
          <w:rStyle w:val="zGNormalChar"/>
        </w:rPr>
        <w:t>; or</w:t>
      </w:r>
      <w:r w:rsidRPr="001703E6">
        <w:rPr>
          <w:rStyle w:val="zGNormalChar"/>
        </w:rPr>
        <w:t xml:space="preserve"> (ii) </w:t>
      </w:r>
      <w:r w:rsidR="00312614">
        <w:rPr>
          <w:rStyle w:val="zGNormalChar"/>
        </w:rPr>
        <w:t>(1) a senior unsecured debt rating or, if the Person has no senior unsecured debt rating, an issuer rating from two of the Rating Agencies of at least: (x) BBB- by S&amp;P, if rated by S&amp;P; (y) Baa3 by Moody’s, if rated by Moody’s; and (z) BBB- by Fitch, if rated by Fitch</w:t>
      </w:r>
      <w:r w:rsidR="007B6F5D">
        <w:rPr>
          <w:rStyle w:val="zGNormalChar"/>
        </w:rPr>
        <w:t>, respectively; and (2)</w:t>
      </w:r>
      <w:r w:rsidRPr="001703E6">
        <w:rPr>
          <w:rStyle w:val="zGNormalChar"/>
        </w:rPr>
        <w:t xml:space="preserve"> satisfactory and verifiable creditworthiness determined in GPC’s </w:t>
      </w:r>
      <w:r w:rsidR="007B6F5D">
        <w:rPr>
          <w:rStyle w:val="zGNormalChar"/>
        </w:rPr>
        <w:t>reasonable</w:t>
      </w:r>
      <w:r w:rsidRPr="001703E6" w:rsidR="007B6F5D">
        <w:rPr>
          <w:rStyle w:val="zGNormalChar"/>
        </w:rPr>
        <w:t xml:space="preserve"> </w:t>
      </w:r>
      <w:r w:rsidRPr="001703E6">
        <w:rPr>
          <w:rStyle w:val="zGNormalChar"/>
        </w:rPr>
        <w:t>discretion.</w:t>
      </w:r>
    </w:p>
    <w:p w:rsidRPr="001703E6" w:rsidR="0029492C" w:rsidP="00B71D5E" w:rsidRDefault="0029492C" w14:paraId="4267864C" w14:textId="77777777">
      <w:pPr>
        <w:pStyle w:val="zGNormalDefinition"/>
        <w:spacing w:before="120" w:after="120"/>
        <w:rPr>
          <w:rStyle w:val="zGNormalChar"/>
        </w:rPr>
      </w:pPr>
      <w:r w:rsidRPr="001703E6">
        <w:rPr>
          <w:b/>
          <w:bCs/>
          <w:spacing w:val="0"/>
          <w:sz w:val="20"/>
          <w:u w:val="single"/>
        </w:rPr>
        <w:t>Data Site</w:t>
      </w:r>
      <w:r w:rsidRPr="001703E6">
        <w:rPr>
          <w:b/>
          <w:bCs/>
          <w:spacing w:val="0"/>
          <w:sz w:val="20"/>
        </w:rPr>
        <w:t>:</w:t>
      </w:r>
      <w:r w:rsidRPr="001703E6">
        <w:rPr>
          <w:spacing w:val="0"/>
          <w:sz w:val="20"/>
        </w:rPr>
        <w:t xml:space="preserve"> </w:t>
      </w:r>
      <w:r w:rsidRPr="001703E6">
        <w:rPr>
          <w:rStyle w:val="zGNormalChar"/>
        </w:rPr>
        <w:t>The website established by Seller for purposes of this APA, to which GPC has been provided access.</w:t>
      </w:r>
    </w:p>
    <w:p w:rsidRPr="001703E6" w:rsidR="004C4A8C" w:rsidP="00B71D5E" w:rsidRDefault="004C4A8C" w14:paraId="71FCAFAB" w14:textId="06E8559F">
      <w:pPr>
        <w:pStyle w:val="zGNormalDefinition"/>
        <w:spacing w:before="120" w:after="120"/>
        <w:rPr>
          <w:b/>
          <w:bCs/>
          <w:spacing w:val="0"/>
          <w:sz w:val="20"/>
        </w:rPr>
      </w:pPr>
      <w:r w:rsidRPr="001703E6">
        <w:rPr>
          <w:rStyle w:val="zGNormalChar"/>
          <w:b/>
          <w:bCs/>
          <w:u w:val="single"/>
        </w:rPr>
        <w:t>Lease Assignment Consent</w:t>
      </w:r>
      <w:r w:rsidRPr="001703E6">
        <w:rPr>
          <w:rStyle w:val="zGNormalChar"/>
          <w:b/>
          <w:bCs/>
        </w:rPr>
        <w:t xml:space="preserve">: </w:t>
      </w:r>
      <w:r w:rsidR="00727F8C">
        <w:rPr>
          <w:rStyle w:val="zGNormalChar"/>
        </w:rPr>
        <w:t>Landlord consent</w:t>
      </w:r>
      <w:r w:rsidRPr="001703E6" w:rsidR="006048DE">
        <w:rPr>
          <w:rStyle w:val="zGNormalChar"/>
        </w:rPr>
        <w:t xml:space="preserve"> in substantially the form of Exhibit </w:t>
      </w:r>
      <w:r w:rsidR="009B029D">
        <w:rPr>
          <w:rStyle w:val="zGNormalChar"/>
        </w:rPr>
        <w:t>F</w:t>
      </w:r>
      <w:r w:rsidRPr="001703E6" w:rsidR="006048DE">
        <w:rPr>
          <w:rStyle w:val="zGNormalChar"/>
        </w:rPr>
        <w:t xml:space="preserve"> (</w:t>
      </w:r>
      <w:r w:rsidRPr="001703E6" w:rsidR="006048DE">
        <w:rPr>
          <w:rStyle w:val="zGNormalChar"/>
          <w:i/>
          <w:iCs/>
        </w:rPr>
        <w:t>Lease Assignment Consent</w:t>
      </w:r>
      <w:r w:rsidRPr="001703E6" w:rsidR="006048DE">
        <w:rPr>
          <w:rStyle w:val="zGNormalChar"/>
        </w:rPr>
        <w:t>) attached to this APA.</w:t>
      </w:r>
    </w:p>
    <w:p w:rsidRPr="001703E6" w:rsidR="00E91BC6" w:rsidP="00B62EAE" w:rsidRDefault="00E91BC6" w14:paraId="180522E2" w14:textId="77777777">
      <w:pPr>
        <w:pStyle w:val="zGNormalDefinition"/>
        <w:rPr>
          <w:rStyle w:val="zGNormalChar"/>
        </w:rPr>
      </w:pPr>
      <w:r w:rsidRPr="001703E6">
        <w:rPr>
          <w:b/>
          <w:w w:val="0"/>
          <w:sz w:val="20"/>
          <w:u w:val="single"/>
        </w:rPr>
        <w:t>Deemed PWA Compliance</w:t>
      </w:r>
      <w:r w:rsidRPr="001703E6">
        <w:rPr>
          <w:b/>
          <w:w w:val="0"/>
          <w:sz w:val="20"/>
        </w:rPr>
        <w:t>:</w:t>
      </w:r>
      <w:r w:rsidRPr="001703E6">
        <w:rPr>
          <w:w w:val="0"/>
          <w:sz w:val="20"/>
        </w:rPr>
        <w:t xml:space="preserve"> </w:t>
      </w:r>
      <w:r w:rsidRPr="001703E6">
        <w:rPr>
          <w:rStyle w:val="zGNormalChar"/>
        </w:rPr>
        <w:t>As defined in Section 3.19(xi) (</w:t>
      </w:r>
      <w:r w:rsidRPr="001703E6">
        <w:rPr>
          <w:rStyle w:val="zGNormalChar"/>
          <w:i/>
          <w:iCs/>
        </w:rPr>
        <w:t>Tax Benefits</w:t>
      </w:r>
      <w:r w:rsidRPr="001703E6">
        <w:rPr>
          <w:rStyle w:val="zGNormalChar"/>
        </w:rPr>
        <w:t>).</w:t>
      </w:r>
    </w:p>
    <w:p w:rsidRPr="001703E6" w:rsidR="00874B7B" w:rsidP="00B62EAE" w:rsidRDefault="00874B7B" w14:paraId="1817ED14" w14:textId="77777777">
      <w:pPr>
        <w:pStyle w:val="zGNormalDefinition"/>
        <w:rPr>
          <w:rStyle w:val="zGNormalChar"/>
        </w:rPr>
      </w:pPr>
      <w:r w:rsidRPr="001703E6">
        <w:rPr>
          <w:b/>
          <w:w w:val="0"/>
          <w:sz w:val="20"/>
          <w:u w:val="single"/>
        </w:rPr>
        <w:t>Delay Liquidated Damages</w:t>
      </w:r>
      <w:r w:rsidRPr="001703E6">
        <w:rPr>
          <w:b/>
          <w:w w:val="0"/>
          <w:sz w:val="20"/>
        </w:rPr>
        <w:t>:</w:t>
      </w:r>
      <w:r w:rsidRPr="001703E6">
        <w:rPr>
          <w:w w:val="0"/>
          <w:sz w:val="20"/>
        </w:rPr>
        <w:t xml:space="preserve"> </w:t>
      </w:r>
      <w:r w:rsidRPr="001703E6">
        <w:rPr>
          <w:rStyle w:val="zGNormalChar"/>
        </w:rPr>
        <w:t>As defined in Section 2.1.3 (</w:t>
      </w:r>
      <w:r w:rsidRPr="001703E6">
        <w:rPr>
          <w:rStyle w:val="zGNormalChar"/>
          <w:i/>
          <w:iCs/>
        </w:rPr>
        <w:t>Delay Liquidated Damages</w:t>
      </w:r>
      <w:r w:rsidRPr="001703E6">
        <w:rPr>
          <w:rStyle w:val="zGNormalChar"/>
        </w:rPr>
        <w:t>).</w:t>
      </w:r>
    </w:p>
    <w:p w:rsidRPr="001703E6" w:rsidR="001B567C" w:rsidP="00B62EAE" w:rsidRDefault="001B567C" w14:paraId="68EEDBD9" w14:textId="77777777">
      <w:pPr>
        <w:pStyle w:val="zGNormalDefinition"/>
        <w:rPr>
          <w:w w:val="0"/>
          <w:sz w:val="20"/>
        </w:rPr>
      </w:pPr>
      <w:r w:rsidRPr="001703E6">
        <w:rPr>
          <w:b/>
          <w:w w:val="0"/>
          <w:sz w:val="20"/>
          <w:u w:val="single"/>
        </w:rPr>
        <w:t>Effective Date</w:t>
      </w:r>
      <w:r w:rsidRPr="001703E6">
        <w:rPr>
          <w:b/>
          <w:w w:val="0"/>
          <w:sz w:val="20"/>
        </w:rPr>
        <w:t>:</w:t>
      </w:r>
      <w:r w:rsidRPr="001703E6">
        <w:rPr>
          <w:w w:val="0"/>
          <w:sz w:val="20"/>
        </w:rPr>
        <w:t xml:space="preserve"> </w:t>
      </w:r>
      <w:r w:rsidRPr="001703E6">
        <w:rPr>
          <w:rStyle w:val="zGNormalChar"/>
        </w:rPr>
        <w:t>The date that the last Party signs this APA.</w:t>
      </w:r>
    </w:p>
    <w:p w:rsidRPr="001703E6" w:rsidR="004C4241" w:rsidP="00B62EAE" w:rsidRDefault="004C4241" w14:paraId="2E750DE4" w14:textId="77777777">
      <w:pPr>
        <w:pStyle w:val="zGNormalDefinition"/>
        <w:rPr>
          <w:rFonts w:eastAsia="Arial"/>
          <w:sz w:val="20"/>
        </w:rPr>
      </w:pPr>
      <w:r w:rsidRPr="001703E6">
        <w:rPr>
          <w:b/>
          <w:bCs/>
          <w:sz w:val="20"/>
          <w:u w:val="single"/>
        </w:rPr>
        <w:t>Electric System</w:t>
      </w:r>
      <w:r w:rsidRPr="001703E6">
        <w:rPr>
          <w:b/>
          <w:bCs/>
          <w:sz w:val="20"/>
        </w:rPr>
        <w:t xml:space="preserve">: </w:t>
      </w:r>
      <w:r w:rsidRPr="001703E6">
        <w:rPr>
          <w:rStyle w:val="zGNormalChar"/>
        </w:rPr>
        <w:t>The network of electric generation, transmission, or distribution facilities owned or operated by GPC or other electric utilities.</w:t>
      </w:r>
    </w:p>
    <w:p w:rsidRPr="001703E6" w:rsidR="005D2473" w:rsidP="00B62EAE" w:rsidRDefault="005D2473" w14:paraId="5BA2B98B" w14:textId="77777777">
      <w:pPr>
        <w:pStyle w:val="zGNormalDefinition"/>
        <w:rPr>
          <w:b/>
          <w:w w:val="0"/>
          <w:sz w:val="20"/>
          <w:u w:val="single"/>
        </w:rPr>
      </w:pPr>
      <w:r w:rsidRPr="001703E6">
        <w:rPr>
          <w:b/>
          <w:w w:val="0"/>
          <w:sz w:val="20"/>
          <w:u w:val="single"/>
        </w:rPr>
        <w:t>Eligible Collateral</w:t>
      </w:r>
      <w:r w:rsidRPr="001703E6">
        <w:rPr>
          <w:b/>
          <w:w w:val="0"/>
          <w:sz w:val="20"/>
        </w:rPr>
        <w:t>:</w:t>
      </w:r>
      <w:r w:rsidRPr="001703E6">
        <w:rPr>
          <w:w w:val="0"/>
          <w:sz w:val="20"/>
        </w:rPr>
        <w:t xml:space="preserve"> </w:t>
      </w:r>
      <w:r w:rsidRPr="001703E6">
        <w:rPr>
          <w:rStyle w:val="zGNormalChar"/>
        </w:rPr>
        <w:t>A Letter of Credit, a Seller Guaranty, or cash deposited into a Security Account, or as otherwise deposited with GPC as the Parties may agree. However, at least 50% of any Eligible Collateral required under any provision of this APA must be in the form of either a Letter of Credit or cash whenever a Seller Guarantor supplying a Seller Guaranty under this APA has an investment grade rating such that its senior unsecured debt (or issuer rating if such Person has no senior unsecured debt rating) is not rated at least BBB by S&amp;P, or at least Baa2 by Moody’s, or at least BBB by Fitch. For purposes of the immediately preceding sentence, a Person is not required to have a senior unsecured debt rating (or issuer rating if such Person has no senior unsecured debt rating) from each of S&amp;P, Moody’s and Fitch, but must have the requisite senior unsecured debt rating (or issuer rating if such Person has no senior unsecured debt rating) as set forth above from at least two of the three Rating Agencies.</w:t>
      </w:r>
    </w:p>
    <w:p w:rsidRPr="001703E6" w:rsidR="00A24E8C" w:rsidP="00B62EAE" w:rsidRDefault="00A24E8C" w14:paraId="0CB501E9" w14:textId="77777777">
      <w:pPr>
        <w:pStyle w:val="zGNormalDefinition"/>
        <w:rPr>
          <w:b/>
          <w:w w:val="0"/>
          <w:sz w:val="20"/>
          <w:u w:val="single"/>
        </w:rPr>
      </w:pPr>
      <w:r w:rsidRPr="001703E6">
        <w:rPr>
          <w:b/>
          <w:w w:val="0"/>
          <w:sz w:val="20"/>
          <w:u w:val="single"/>
        </w:rPr>
        <w:t>Emerging Contaminants</w:t>
      </w:r>
      <w:r w:rsidRPr="001703E6">
        <w:rPr>
          <w:b/>
          <w:w w:val="0"/>
          <w:sz w:val="20"/>
        </w:rPr>
        <w:t>:</w:t>
      </w:r>
      <w:r w:rsidRPr="001703E6">
        <w:rPr>
          <w:w w:val="0"/>
          <w:sz w:val="20"/>
        </w:rPr>
        <w:t xml:space="preserve"> </w:t>
      </w:r>
      <w:r w:rsidRPr="001703E6">
        <w:rPr>
          <w:rStyle w:val="zGNormalChar"/>
        </w:rPr>
        <w:t>Chemicals and other substances not currently regulated under any Environmental Law that: (i) have been discovered in natural streams; and (ii) potentially cause a deleterious effect in aquatic life, including vegetation and water quality, at environmentally relevant concentrations, including per- and polyfluoroalkyl substances.</w:t>
      </w:r>
    </w:p>
    <w:p w:rsidRPr="001703E6" w:rsidR="005F0AF3" w:rsidP="00B62EAE" w:rsidRDefault="005F0AF3" w14:paraId="1716F727" w14:textId="77777777">
      <w:pPr>
        <w:pStyle w:val="zGNormalDefinition"/>
        <w:rPr>
          <w:sz w:val="20"/>
        </w:rPr>
      </w:pPr>
      <w:bookmarkStart w:name="_Hlk144814254" w:id="8"/>
      <w:r w:rsidRPr="001703E6">
        <w:rPr>
          <w:b/>
          <w:sz w:val="20"/>
          <w:u w:val="single"/>
        </w:rPr>
        <w:lastRenderedPageBreak/>
        <w:t>Environmental Attributes</w:t>
      </w:r>
      <w:r w:rsidRPr="001703E6">
        <w:rPr>
          <w:b/>
          <w:bCs/>
          <w:sz w:val="20"/>
        </w:rPr>
        <w:t>:</w:t>
      </w:r>
      <w:r w:rsidRPr="001703E6">
        <w:rPr>
          <w:sz w:val="20"/>
        </w:rPr>
        <w:t xml:space="preserve"> </w:t>
      </w:r>
      <w:r w:rsidRPr="001703E6">
        <w:rPr>
          <w:rStyle w:val="zGNormalChar"/>
        </w:rPr>
        <w:t>Either (i) all fuel-related, emissions-related, air quality-related or other environmental-related aspects, claims, characteristics, benefits, credits, including RECs, reductions, offsets, savings, allowances, efficiencies, certificates, tags, attributes, demand reductions or similar products or rights (including all of those relating to greenhouse gases and all green certificates, green tags, renewable certificates, and RECs, CO2 credits, and emissions reduction credits, and all those that otherwise arise or result from the generation of Energy from the Facility, and all those arising or resulting from the existence of the Facility): (a) howsoever titled and whether known or unknown; (b) whether existing as of the Effective Date or at any time during the Term; and (c) whether the Environmental Attributes have been certified or verified under any renewable standard, including all those that could qualify or do qualify for application toward compliance with any local, state, federal or international renewable energy portfolio standard, green pricing program, renewable energy program, carbon reduction or greenhouse gas reduction initiative, electricity savings program, or other environmental program, incentive mandate, or objective, in each case whether voluntary or mandatory; or (ii) all environmental benefits GPC otherwise would have realized from or related to the Facility if GPC, rather than Seller, had constructed, owned, or operated the Facility, as applicable. Environmental Attributes do not include: (I) any federal, state, or local tax attribute arising from ownership of the Facility, including any ITC, PTC, or depreciation deduction; or (II) any grant in lieu of any ITC, or any similar financial payment or grant with respect to the Facility.</w:t>
      </w:r>
    </w:p>
    <w:bookmarkEnd w:id="8"/>
    <w:p w:rsidRPr="001703E6" w:rsidR="0029492C" w:rsidP="00B71D5E" w:rsidRDefault="0029492C" w14:paraId="67144CC9" w14:textId="77777777">
      <w:pPr>
        <w:pStyle w:val="zGNormalDefinition"/>
        <w:spacing w:before="120" w:after="120"/>
        <w:rPr>
          <w:spacing w:val="0"/>
          <w:sz w:val="20"/>
        </w:rPr>
      </w:pPr>
      <w:r w:rsidRPr="001703E6">
        <w:rPr>
          <w:b/>
          <w:bCs/>
          <w:spacing w:val="0"/>
          <w:sz w:val="20"/>
          <w:u w:val="single"/>
        </w:rPr>
        <w:t>Environmental Condition</w:t>
      </w:r>
      <w:r w:rsidRPr="001703E6">
        <w:rPr>
          <w:b/>
          <w:bCs/>
          <w:spacing w:val="0"/>
          <w:sz w:val="20"/>
        </w:rPr>
        <w:t>:</w:t>
      </w:r>
      <w:r w:rsidRPr="001703E6">
        <w:rPr>
          <w:spacing w:val="0"/>
          <w:sz w:val="20"/>
        </w:rPr>
        <w:t xml:space="preserve"> </w:t>
      </w:r>
      <w:proofErr w:type="gramStart"/>
      <w:r w:rsidRPr="001703E6">
        <w:rPr>
          <w:rStyle w:val="zGNormalChar"/>
        </w:rPr>
        <w:t>The Release</w:t>
      </w:r>
      <w:proofErr w:type="gramEnd"/>
      <w:r w:rsidRPr="001703E6">
        <w:rPr>
          <w:rStyle w:val="zGNormalChar"/>
        </w:rPr>
        <w:t xml:space="preserve"> to the environment of a Hazardous Substance, including any migration of a Hazardous Substance through air, soil, or water.</w:t>
      </w:r>
    </w:p>
    <w:p w:rsidRPr="001703E6" w:rsidR="0029492C" w:rsidP="00B71D5E" w:rsidRDefault="0029492C" w14:paraId="10D2AF03" w14:textId="77777777">
      <w:pPr>
        <w:pStyle w:val="zGNormalDefinition"/>
        <w:spacing w:before="120" w:after="120"/>
        <w:rPr>
          <w:spacing w:val="0"/>
          <w:sz w:val="20"/>
        </w:rPr>
      </w:pPr>
      <w:r w:rsidRPr="001703E6">
        <w:rPr>
          <w:b/>
          <w:bCs/>
          <w:spacing w:val="0"/>
          <w:sz w:val="20"/>
          <w:u w:val="single"/>
        </w:rPr>
        <w:t>Environmental Law</w:t>
      </w:r>
      <w:r w:rsidRPr="001703E6">
        <w:rPr>
          <w:b/>
          <w:bCs/>
          <w:spacing w:val="0"/>
          <w:sz w:val="20"/>
        </w:rPr>
        <w:t>:</w:t>
      </w:r>
      <w:r w:rsidRPr="001703E6">
        <w:rPr>
          <w:spacing w:val="0"/>
          <w:sz w:val="20"/>
        </w:rPr>
        <w:t xml:space="preserve"> </w:t>
      </w:r>
      <w:r w:rsidRPr="001703E6">
        <w:rPr>
          <w:rStyle w:val="zGNormalChar"/>
        </w:rPr>
        <w:t>Any applicable law that relates to pollution, occupational safety, protection of occupational health, or the protection of the environment, including: (a) the Comprehensive Environmental Response, Compensation and Liability Act, 42 U.S.C. § 9601 et seq.; (b) the Resource Conservation and Recovery Act, 42 U.S.C. § 6901 et seq.; (c) the Federal Water Pollution Control Act, 33 U.S.C. § 1251 et seq.; (d) the Clean Air Act, 42 U.S.C. § 7401 et seq.; (e) the Hazardous Materials Transportation Authorization Act of 1994, 49 U.S.C. § 5101 et seq.; (f) the Toxic Substances Control Act, 15 U.S.C. §§ 2601 through 2629; (g) the Oil Pollution Act, 33 U.S.C. § 2701 et seq.; (h) the Emergency Planning and Community Right-to-Know Act, 42 U.S.C. § 11001 et seq.; (i) the Safe Drinking Water Act, 42 U.S.C. §§ 300f through 300j; (j) the Federal Insecticide, Fungicide, &amp; Rodenticide Act, 7 U.S.C. § 136 et seq.; (k) the Endangered Species Act, 16 U.S.C. § 1531 et seq.; (l) the Clean Water Act, 33 U.S.C. § 1251 et seq.; (m) National Environmental Policy Act, 42 U.S.C. § 55 et seq.; (n) the Migratory Bird Treaty Act, 16 U.S.C. § 703 et seq.; (o) the Bald and Golden Eagle Protection Act; (p) Archeological Resources Protection Act, 16 U.S.C. § 470aa et seq.; (q) National Historic Preservation Act, 54 U.S.C. § 300101 et seq.; and (r) state equivalents to items (a) through (q). However, the term “Environmental Law” does not include any law relating to worker health or safety matters to the extent not related to human exposure to hazardous or toxic materials, wastes, or substances.</w:t>
      </w:r>
    </w:p>
    <w:p w:rsidRPr="001703E6" w:rsidR="0029492C" w:rsidP="00B71D5E" w:rsidRDefault="0029492C" w14:paraId="7D90C075" w14:textId="77777777">
      <w:pPr>
        <w:pStyle w:val="zGNormalDefinition"/>
        <w:spacing w:before="120" w:after="120"/>
        <w:rPr>
          <w:spacing w:val="0"/>
          <w:sz w:val="20"/>
        </w:rPr>
      </w:pPr>
      <w:r w:rsidRPr="001703E6">
        <w:rPr>
          <w:b/>
          <w:bCs/>
          <w:spacing w:val="0"/>
          <w:sz w:val="20"/>
          <w:u w:val="single"/>
        </w:rPr>
        <w:t>ERISA</w:t>
      </w:r>
      <w:r w:rsidRPr="001703E6">
        <w:rPr>
          <w:b/>
          <w:bCs/>
          <w:spacing w:val="0"/>
          <w:sz w:val="20"/>
        </w:rPr>
        <w:t>:</w:t>
      </w:r>
      <w:r w:rsidRPr="001703E6">
        <w:rPr>
          <w:spacing w:val="0"/>
          <w:sz w:val="20"/>
        </w:rPr>
        <w:t xml:space="preserve"> </w:t>
      </w:r>
      <w:r w:rsidRPr="001703E6">
        <w:rPr>
          <w:rStyle w:val="zGNormalChar"/>
        </w:rPr>
        <w:t>Employee Retirement Income Security Act of 1974.</w:t>
      </w:r>
    </w:p>
    <w:p w:rsidRPr="001703E6" w:rsidR="0029492C" w:rsidP="00B71D5E" w:rsidRDefault="0029492C" w14:paraId="35343573" w14:textId="77777777">
      <w:pPr>
        <w:pStyle w:val="zGNormalDefinition"/>
        <w:spacing w:before="120" w:after="120"/>
        <w:rPr>
          <w:spacing w:val="0"/>
          <w:sz w:val="20"/>
        </w:rPr>
      </w:pPr>
      <w:r w:rsidRPr="001703E6">
        <w:rPr>
          <w:b/>
          <w:bCs/>
          <w:spacing w:val="0"/>
          <w:sz w:val="20"/>
          <w:u w:val="single"/>
        </w:rPr>
        <w:t>ERISA Affiliate</w:t>
      </w:r>
      <w:r w:rsidRPr="001703E6">
        <w:rPr>
          <w:b/>
          <w:bCs/>
          <w:spacing w:val="0"/>
          <w:sz w:val="20"/>
        </w:rPr>
        <w:t>:</w:t>
      </w:r>
      <w:r w:rsidRPr="001703E6">
        <w:rPr>
          <w:spacing w:val="0"/>
          <w:sz w:val="20"/>
        </w:rPr>
        <w:t xml:space="preserve"> </w:t>
      </w:r>
      <w:r w:rsidRPr="001703E6">
        <w:rPr>
          <w:rStyle w:val="zGNormalChar"/>
        </w:rPr>
        <w:t>Any entity that, together with a Person, would be deemed a single employer within the meaning of Code Section 414(b), (c), or (m), or ERISA Section 4001(b).</w:t>
      </w:r>
    </w:p>
    <w:p w:rsidRPr="001703E6" w:rsidR="00481917" w:rsidP="00B71D5E" w:rsidRDefault="00EF04DF" w14:paraId="2EF35AD0" w14:textId="77777777">
      <w:pPr>
        <w:pStyle w:val="zGNormalDefinition"/>
        <w:spacing w:before="120" w:after="120"/>
        <w:rPr>
          <w:spacing w:val="0"/>
          <w:sz w:val="20"/>
        </w:rPr>
      </w:pPr>
      <w:r w:rsidRPr="001703E6">
        <w:rPr>
          <w:b/>
          <w:bCs/>
          <w:spacing w:val="0"/>
          <w:sz w:val="20"/>
          <w:u w:val="single"/>
        </w:rPr>
        <w:t>Estimated Closing Working Capital</w:t>
      </w:r>
      <w:r w:rsidRPr="001703E6">
        <w:rPr>
          <w:b/>
          <w:bCs/>
          <w:spacing w:val="0"/>
          <w:sz w:val="20"/>
        </w:rPr>
        <w:t>:</w:t>
      </w:r>
      <w:r w:rsidRPr="001703E6">
        <w:rPr>
          <w:spacing w:val="0"/>
          <w:sz w:val="20"/>
        </w:rPr>
        <w:t xml:space="preserve"> </w:t>
      </w:r>
      <w:r w:rsidRPr="001703E6">
        <w:rPr>
          <w:rStyle w:val="zGNormalChar"/>
        </w:rPr>
        <w:t>As defined in Section 2.2.1 (</w:t>
      </w:r>
      <w:r w:rsidRPr="001703E6">
        <w:rPr>
          <w:rStyle w:val="zGNormalChar"/>
          <w:i/>
          <w:iCs/>
        </w:rPr>
        <w:t>Estimated Closing Adjustment Statement</w:t>
      </w:r>
      <w:r w:rsidRPr="001703E6">
        <w:rPr>
          <w:rStyle w:val="zGNormalChar"/>
        </w:rPr>
        <w:t>).</w:t>
      </w:r>
    </w:p>
    <w:p w:rsidRPr="001703E6" w:rsidR="0029492C" w:rsidP="00B71D5E" w:rsidRDefault="0029492C" w14:paraId="48EFB5D4" w14:textId="63014A68">
      <w:pPr>
        <w:pStyle w:val="zGNormalDefinition"/>
        <w:spacing w:before="120" w:after="120"/>
        <w:rPr>
          <w:spacing w:val="0"/>
          <w:sz w:val="20"/>
        </w:rPr>
      </w:pPr>
      <w:r w:rsidRPr="001703E6">
        <w:rPr>
          <w:b/>
          <w:bCs/>
          <w:spacing w:val="0"/>
          <w:sz w:val="20"/>
          <w:u w:val="single"/>
        </w:rPr>
        <w:t>Excluded Assets</w:t>
      </w:r>
      <w:r w:rsidRPr="001703E6">
        <w:rPr>
          <w:b/>
          <w:bCs/>
          <w:spacing w:val="0"/>
          <w:sz w:val="20"/>
        </w:rPr>
        <w:t>:</w:t>
      </w:r>
      <w:r w:rsidRPr="001703E6">
        <w:rPr>
          <w:spacing w:val="0"/>
          <w:sz w:val="20"/>
        </w:rPr>
        <w:t xml:space="preserve"> </w:t>
      </w:r>
      <w:r w:rsidRPr="001703E6">
        <w:rPr>
          <w:rStyle w:val="zGNormalChar"/>
        </w:rPr>
        <w:t>All Seller’s Cash and Cash Equivalents and the items listed in Section 1.3 of the Seller Disclosure Schedule.</w:t>
      </w:r>
    </w:p>
    <w:p w:rsidRPr="001703E6" w:rsidR="0029492C" w:rsidP="00B71D5E" w:rsidRDefault="0029492C" w14:paraId="2F1F5ECF" w14:textId="509ED34E">
      <w:pPr>
        <w:pStyle w:val="zGNormalDefinition"/>
        <w:spacing w:before="120" w:after="120"/>
        <w:rPr>
          <w:spacing w:val="0"/>
          <w:sz w:val="20"/>
        </w:rPr>
      </w:pPr>
      <w:r w:rsidRPr="001703E6">
        <w:rPr>
          <w:b/>
          <w:bCs/>
          <w:spacing w:val="0"/>
          <w:sz w:val="20"/>
          <w:u w:val="single"/>
        </w:rPr>
        <w:t>Excluded Liabilities</w:t>
      </w:r>
      <w:r w:rsidRPr="001703E6">
        <w:rPr>
          <w:b/>
          <w:bCs/>
          <w:spacing w:val="0"/>
          <w:sz w:val="20"/>
        </w:rPr>
        <w:t>:</w:t>
      </w:r>
      <w:r w:rsidRPr="001703E6">
        <w:rPr>
          <w:spacing w:val="0"/>
          <w:sz w:val="20"/>
        </w:rPr>
        <w:t xml:space="preserve"> </w:t>
      </w:r>
      <w:r w:rsidRPr="001703E6">
        <w:rPr>
          <w:rStyle w:val="zGNormalChar"/>
        </w:rPr>
        <w:t>As defined in Section 1</w:t>
      </w:r>
      <w:r w:rsidRPr="001703E6" w:rsidR="00680C83">
        <w:rPr>
          <w:rStyle w:val="zGNormalChar"/>
        </w:rPr>
        <w:t>.</w:t>
      </w:r>
      <w:r w:rsidRPr="001703E6">
        <w:rPr>
          <w:rStyle w:val="zGNormalChar"/>
        </w:rPr>
        <w:t>4 (</w:t>
      </w:r>
      <w:r w:rsidRPr="001703E6">
        <w:rPr>
          <w:rStyle w:val="zGNormalChar"/>
          <w:i/>
          <w:iCs/>
        </w:rPr>
        <w:t>Excluded Liabilities</w:t>
      </w:r>
      <w:r w:rsidRPr="001703E6">
        <w:rPr>
          <w:rStyle w:val="zGNormalChar"/>
        </w:rPr>
        <w:t>).</w:t>
      </w:r>
    </w:p>
    <w:p w:rsidRPr="001703E6" w:rsidR="0029492C" w:rsidP="00B71D5E" w:rsidRDefault="0029492C" w14:paraId="6184E80A" w14:textId="77777777">
      <w:pPr>
        <w:pStyle w:val="zGNormalDefinition"/>
        <w:spacing w:before="120" w:after="120"/>
        <w:rPr>
          <w:spacing w:val="0"/>
          <w:sz w:val="20"/>
        </w:rPr>
      </w:pPr>
      <w:r w:rsidRPr="001703E6">
        <w:rPr>
          <w:b/>
          <w:bCs/>
          <w:spacing w:val="0"/>
          <w:sz w:val="20"/>
          <w:u w:val="single"/>
        </w:rPr>
        <w:t>Existing Title Insurance Policy</w:t>
      </w:r>
      <w:r w:rsidRPr="001703E6">
        <w:rPr>
          <w:b/>
          <w:bCs/>
          <w:spacing w:val="0"/>
          <w:sz w:val="20"/>
        </w:rPr>
        <w:t>:</w:t>
      </w:r>
      <w:r w:rsidRPr="001703E6">
        <w:rPr>
          <w:spacing w:val="0"/>
          <w:sz w:val="20"/>
        </w:rPr>
        <w:t xml:space="preserve"> </w:t>
      </w:r>
      <w:r w:rsidRPr="001703E6">
        <w:rPr>
          <w:rStyle w:val="zGNormalChar"/>
        </w:rPr>
        <w:t>ALTA Owner’s Policy issued by the Title Company as further described in Exhibit A-1 (</w:t>
      </w:r>
      <w:r w:rsidRPr="001703E6">
        <w:rPr>
          <w:rStyle w:val="zGNormalChar"/>
          <w:i/>
          <w:iCs/>
        </w:rPr>
        <w:t>Facility Information and Additional Details</w:t>
      </w:r>
      <w:r w:rsidRPr="001703E6">
        <w:rPr>
          <w:rStyle w:val="zGNormalChar"/>
        </w:rPr>
        <w:t>).</w:t>
      </w:r>
    </w:p>
    <w:p w:rsidRPr="001703E6" w:rsidR="00C85DB4" w:rsidP="00C85DB4" w:rsidRDefault="00C85DB4" w14:paraId="42C6B45B" w14:textId="77777777">
      <w:pPr>
        <w:pStyle w:val="zGNormalDefinition"/>
        <w:spacing w:before="120" w:after="120"/>
        <w:rPr>
          <w:spacing w:val="0"/>
          <w:sz w:val="20"/>
        </w:rPr>
      </w:pPr>
      <w:r w:rsidRPr="001703E6">
        <w:rPr>
          <w:b/>
          <w:bCs/>
          <w:spacing w:val="0"/>
          <w:sz w:val="20"/>
          <w:u w:val="single"/>
        </w:rPr>
        <w:t>Facility</w:t>
      </w:r>
      <w:r w:rsidRPr="001703E6">
        <w:rPr>
          <w:b/>
          <w:bCs/>
          <w:spacing w:val="0"/>
          <w:sz w:val="20"/>
        </w:rPr>
        <w:t>:</w:t>
      </w:r>
      <w:r w:rsidRPr="001703E6">
        <w:rPr>
          <w:spacing w:val="0"/>
          <w:sz w:val="20"/>
        </w:rPr>
        <w:t xml:space="preserve"> </w:t>
      </w:r>
      <w:r w:rsidRPr="001703E6">
        <w:rPr>
          <w:rStyle w:val="zGNormalChar"/>
        </w:rPr>
        <w:t>The facility as further described in Exhibit A-1 (</w:t>
      </w:r>
      <w:r w:rsidRPr="001703E6">
        <w:rPr>
          <w:rStyle w:val="zGNormalChar"/>
          <w:i/>
          <w:iCs/>
        </w:rPr>
        <w:t>Facility Information and Additional Details</w:t>
      </w:r>
      <w:r w:rsidRPr="001703E6">
        <w:rPr>
          <w:rStyle w:val="zGNormalChar"/>
        </w:rPr>
        <w:t>) that GPC is purchasing from Seller under the terms of this APA.</w:t>
      </w:r>
    </w:p>
    <w:p w:rsidRPr="001703E6" w:rsidR="00C85DB4" w:rsidP="00C85DB4" w:rsidRDefault="00C85DB4" w14:paraId="5C01D00A" w14:textId="77777777">
      <w:pPr>
        <w:pStyle w:val="zGNormalDefinition"/>
        <w:spacing w:before="120" w:after="120"/>
        <w:rPr>
          <w:spacing w:val="0"/>
          <w:sz w:val="20"/>
        </w:rPr>
      </w:pPr>
      <w:r w:rsidRPr="001703E6">
        <w:rPr>
          <w:b/>
          <w:bCs/>
          <w:spacing w:val="0"/>
          <w:sz w:val="20"/>
          <w:u w:val="single"/>
        </w:rPr>
        <w:t>Facility Assets</w:t>
      </w:r>
      <w:r w:rsidRPr="001703E6">
        <w:rPr>
          <w:b/>
          <w:bCs/>
          <w:spacing w:val="0"/>
          <w:sz w:val="20"/>
        </w:rPr>
        <w:t>:</w:t>
      </w:r>
      <w:r w:rsidRPr="001703E6">
        <w:rPr>
          <w:spacing w:val="0"/>
          <w:sz w:val="20"/>
        </w:rPr>
        <w:t xml:space="preserve"> </w:t>
      </w:r>
      <w:r w:rsidRPr="001703E6">
        <w:rPr>
          <w:rStyle w:val="zGNormalChar"/>
        </w:rPr>
        <w:t>All properties, assets, rights, and interests of any kind, nature, character, and description, whether real, personal, or mixed, whether tangible or intangible, whether now existing or acquired before the Closing, and wherever located, and any goodwill related thereto, owned, licensed, leased, or otherwise held by Seller that relate to, are used or held for use in connection with, or are necessary for the ownership, operation, maintenance, repair, or use of the Facility (other than the Excluded Assets), including the following:</w:t>
      </w:r>
    </w:p>
    <w:p w:rsidRPr="001703E6" w:rsidR="00C85DB4" w:rsidP="00C83DF3" w:rsidRDefault="00C85DB4" w14:paraId="4C96E653" w14:textId="77777777">
      <w:pPr>
        <w:pStyle w:val="zGNormal"/>
        <w:spacing w:before="60" w:after="60"/>
        <w:ind w:left="810"/>
      </w:pPr>
      <w:r w:rsidRPr="001703E6">
        <w:t>(a)</w:t>
      </w:r>
      <w:r w:rsidRPr="001703E6">
        <w:tab/>
        <w:t xml:space="preserve">Books and </w:t>
      </w:r>
      <w:proofErr w:type="gramStart"/>
      <w:r w:rsidRPr="001703E6">
        <w:t>Records;</w:t>
      </w:r>
      <w:proofErr w:type="gramEnd"/>
    </w:p>
    <w:p w:rsidRPr="001703E6" w:rsidR="00C85DB4" w:rsidP="00C83DF3" w:rsidRDefault="00C85DB4" w14:paraId="540EDE0F" w14:textId="77777777">
      <w:pPr>
        <w:pStyle w:val="zGNormal"/>
        <w:spacing w:before="60" w:after="60"/>
        <w:ind w:left="810"/>
      </w:pPr>
      <w:r w:rsidRPr="001703E6">
        <w:t>(b)</w:t>
      </w:r>
      <w:r w:rsidRPr="001703E6">
        <w:tab/>
        <w:t xml:space="preserve">Facility Real </w:t>
      </w:r>
      <w:proofErr w:type="gramStart"/>
      <w:r w:rsidRPr="001703E6">
        <w:t>Property;</w:t>
      </w:r>
      <w:proofErr w:type="gramEnd"/>
    </w:p>
    <w:p w:rsidRPr="001703E6" w:rsidR="00C85DB4" w:rsidP="00C83DF3" w:rsidRDefault="00C85DB4" w14:paraId="5969D278" w14:textId="77777777">
      <w:pPr>
        <w:pStyle w:val="zGNormal"/>
        <w:spacing w:before="60" w:after="60"/>
        <w:ind w:left="810"/>
      </w:pPr>
      <w:r w:rsidRPr="001703E6">
        <w:t>(c)</w:t>
      </w:r>
      <w:r w:rsidRPr="001703E6">
        <w:tab/>
        <w:t xml:space="preserve">Facility </w:t>
      </w:r>
      <w:proofErr w:type="gramStart"/>
      <w:r w:rsidRPr="001703E6">
        <w:t>Contracts;</w:t>
      </w:r>
      <w:proofErr w:type="gramEnd"/>
    </w:p>
    <w:p w:rsidRPr="001703E6" w:rsidR="00C85DB4" w:rsidP="00C83DF3" w:rsidRDefault="00C85DB4" w14:paraId="4BBC2A72" w14:textId="77777777">
      <w:pPr>
        <w:pStyle w:val="zGNormal"/>
        <w:spacing w:before="60" w:after="60"/>
        <w:ind w:left="810"/>
      </w:pPr>
      <w:r w:rsidRPr="001703E6">
        <w:t>(d)</w:t>
      </w:r>
      <w:r w:rsidRPr="001703E6">
        <w:tab/>
        <w:t xml:space="preserve">Facility </w:t>
      </w:r>
      <w:proofErr w:type="gramStart"/>
      <w:r w:rsidRPr="001703E6">
        <w:t>Equipment;</w:t>
      </w:r>
      <w:proofErr w:type="gramEnd"/>
    </w:p>
    <w:p w:rsidRPr="001703E6" w:rsidR="00C85DB4" w:rsidP="00C83DF3" w:rsidRDefault="00C85DB4" w14:paraId="0CB543FD" w14:textId="77777777">
      <w:pPr>
        <w:pStyle w:val="zGNormal"/>
        <w:spacing w:before="60" w:after="60"/>
        <w:ind w:left="810"/>
      </w:pPr>
      <w:r w:rsidRPr="001703E6">
        <w:t>(e)</w:t>
      </w:r>
      <w:r w:rsidRPr="001703E6">
        <w:tab/>
      </w:r>
      <w:proofErr w:type="gramStart"/>
      <w:r w:rsidRPr="001703E6">
        <w:t>Improvements;</w:t>
      </w:r>
      <w:proofErr w:type="gramEnd"/>
    </w:p>
    <w:p w:rsidRPr="001703E6" w:rsidR="00C85DB4" w:rsidP="00C83DF3" w:rsidRDefault="00C85DB4" w14:paraId="20FDFBF5" w14:textId="77777777">
      <w:pPr>
        <w:pStyle w:val="zGNormal"/>
        <w:spacing w:before="60" w:after="60"/>
        <w:ind w:left="1440" w:hanging="630"/>
      </w:pPr>
      <w:r w:rsidRPr="001703E6">
        <w:lastRenderedPageBreak/>
        <w:t>(f)</w:t>
      </w:r>
      <w:r w:rsidRPr="001703E6">
        <w:tab/>
        <w:t>Facility Insurance Policies (with non-transferable Facility Insurance Policies identified in Section 3.17.1 of the Seller Disclosure Schedule</w:t>
      </w:r>
      <w:proofErr w:type="gramStart"/>
      <w:r w:rsidRPr="001703E6">
        <w:t>);</w:t>
      </w:r>
      <w:proofErr w:type="gramEnd"/>
    </w:p>
    <w:p w:rsidRPr="001703E6" w:rsidR="00C85DB4" w:rsidP="00C83DF3" w:rsidRDefault="00C85DB4" w14:paraId="4AB79E93" w14:textId="77777777">
      <w:pPr>
        <w:pStyle w:val="zGNormal"/>
        <w:spacing w:before="60" w:after="60"/>
        <w:ind w:left="810"/>
      </w:pPr>
      <w:r w:rsidRPr="001703E6">
        <w:t>(g)</w:t>
      </w:r>
      <w:r w:rsidRPr="001703E6">
        <w:tab/>
        <w:t xml:space="preserve">Facility Intellectual </w:t>
      </w:r>
      <w:proofErr w:type="gramStart"/>
      <w:r w:rsidRPr="001703E6">
        <w:t>Property;</w:t>
      </w:r>
      <w:proofErr w:type="gramEnd"/>
    </w:p>
    <w:p w:rsidRPr="001703E6" w:rsidR="00C85DB4" w:rsidP="00C83DF3" w:rsidRDefault="00C85DB4" w14:paraId="014B4C91" w14:textId="77777777">
      <w:pPr>
        <w:pStyle w:val="zGNormal"/>
        <w:spacing w:before="60" w:after="60"/>
        <w:ind w:left="810"/>
      </w:pPr>
      <w:r w:rsidRPr="001703E6">
        <w:t>(h)</w:t>
      </w:r>
      <w:r w:rsidRPr="001703E6">
        <w:tab/>
        <w:t xml:space="preserve">Facility IT </w:t>
      </w:r>
      <w:proofErr w:type="gramStart"/>
      <w:r w:rsidRPr="001703E6">
        <w:t>Assets;</w:t>
      </w:r>
      <w:proofErr w:type="gramEnd"/>
    </w:p>
    <w:p w:rsidRPr="001703E6" w:rsidR="00C85DB4" w:rsidP="00C83DF3" w:rsidRDefault="00C85DB4" w14:paraId="40C4FE03" w14:textId="77777777">
      <w:pPr>
        <w:pStyle w:val="zGNormal"/>
        <w:spacing w:before="60" w:after="60"/>
        <w:ind w:left="1440" w:hanging="630"/>
      </w:pPr>
      <w:r w:rsidRPr="001703E6">
        <w:t>(i)</w:t>
      </w:r>
      <w:r w:rsidRPr="001703E6">
        <w:tab/>
        <w:t>Facility Permits (with non-transferable Facility Permits identified in Section 3.9.1 of the Seller Disclosure Schedule</w:t>
      </w:r>
      <w:proofErr w:type="gramStart"/>
      <w:r w:rsidRPr="001703E6">
        <w:t>);</w:t>
      </w:r>
      <w:proofErr w:type="gramEnd"/>
    </w:p>
    <w:p w:rsidRPr="001703E6" w:rsidR="00C85DB4" w:rsidP="00C83DF3" w:rsidRDefault="00C85DB4" w14:paraId="6051A0CA" w14:textId="77777777">
      <w:pPr>
        <w:pStyle w:val="zGNormal"/>
        <w:spacing w:before="60" w:after="60"/>
        <w:ind w:left="810"/>
      </w:pPr>
      <w:r w:rsidRPr="001703E6">
        <w:t>(j)</w:t>
      </w:r>
      <w:r w:rsidRPr="001703E6">
        <w:tab/>
        <w:t xml:space="preserve">Environmental </w:t>
      </w:r>
      <w:proofErr w:type="gramStart"/>
      <w:r w:rsidRPr="001703E6">
        <w:t>Attributes;</w:t>
      </w:r>
      <w:proofErr w:type="gramEnd"/>
    </w:p>
    <w:p w:rsidRPr="001703E6" w:rsidR="00C85DB4" w:rsidP="00C83DF3" w:rsidRDefault="00C85DB4" w14:paraId="369259AC" w14:textId="77777777">
      <w:pPr>
        <w:pStyle w:val="zGNormal"/>
        <w:spacing w:before="60" w:after="60"/>
        <w:ind w:left="1440" w:hanging="630"/>
      </w:pPr>
      <w:r w:rsidRPr="001703E6">
        <w:t>(k)</w:t>
      </w:r>
      <w:r w:rsidRPr="001703E6">
        <w:tab/>
        <w:t>Renewable Energy Incentives (with non-transferable Renewable Energy Incentives identified in Section 3.10.5 of the Seller Disclosure Schedule</w:t>
      </w:r>
      <w:proofErr w:type="gramStart"/>
      <w:r w:rsidRPr="001703E6">
        <w:t>);</w:t>
      </w:r>
      <w:proofErr w:type="gramEnd"/>
      <w:r w:rsidRPr="001703E6">
        <w:t xml:space="preserve"> </w:t>
      </w:r>
    </w:p>
    <w:p w:rsidRPr="001703E6" w:rsidR="00C85DB4" w:rsidP="00C83DF3" w:rsidRDefault="00C85DB4" w14:paraId="2786F1BB" w14:textId="77777777">
      <w:pPr>
        <w:pStyle w:val="zGNormal"/>
        <w:spacing w:before="60" w:after="60"/>
        <w:ind w:left="810"/>
      </w:pPr>
      <w:r w:rsidRPr="001703E6">
        <w:t>(l)</w:t>
      </w:r>
      <w:r w:rsidRPr="001703E6">
        <w:tab/>
        <w:t>Reports; and</w:t>
      </w:r>
    </w:p>
    <w:p w:rsidRPr="001703E6" w:rsidR="00C85DB4" w:rsidP="00C83DF3" w:rsidRDefault="00C85DB4" w14:paraId="7EF44907" w14:textId="77777777">
      <w:pPr>
        <w:pStyle w:val="zGNormal"/>
        <w:spacing w:before="60" w:after="60"/>
        <w:ind w:left="810"/>
      </w:pPr>
      <w:r w:rsidRPr="001703E6">
        <w:t>(m)</w:t>
      </w:r>
      <w:r w:rsidRPr="001703E6">
        <w:tab/>
        <w:t>Resource Data.</w:t>
      </w:r>
    </w:p>
    <w:p w:rsidRPr="001703E6" w:rsidR="00C85DB4" w:rsidP="006A18E5" w:rsidRDefault="00C85DB4" w14:paraId="7CA29749" w14:textId="3FE598EA">
      <w:pPr>
        <w:pStyle w:val="zGNormalDefinition"/>
        <w:spacing w:before="120" w:after="120"/>
        <w:rPr>
          <w:spacing w:val="0"/>
          <w:sz w:val="20"/>
        </w:rPr>
      </w:pPr>
      <w:r w:rsidRPr="001703E6">
        <w:rPr>
          <w:b/>
          <w:bCs/>
          <w:spacing w:val="0"/>
          <w:sz w:val="20"/>
          <w:u w:val="single"/>
        </w:rPr>
        <w:t>Facility Contracts</w:t>
      </w:r>
      <w:r w:rsidRPr="001703E6">
        <w:rPr>
          <w:b/>
          <w:bCs/>
          <w:spacing w:val="0"/>
          <w:sz w:val="20"/>
        </w:rPr>
        <w:t>:</w:t>
      </w:r>
      <w:r w:rsidRPr="001703E6">
        <w:rPr>
          <w:spacing w:val="0"/>
          <w:sz w:val="20"/>
        </w:rPr>
        <w:t xml:space="preserve"> </w:t>
      </w:r>
      <w:r w:rsidRPr="001703E6">
        <w:rPr>
          <w:rStyle w:val="zGNormalChar"/>
        </w:rPr>
        <w:t>All Contracts (including Real Property Agreements</w:t>
      </w:r>
      <w:r w:rsidRPr="001703E6" w:rsidR="002E2679">
        <w:rPr>
          <w:rStyle w:val="zGNormalChar"/>
        </w:rPr>
        <w:t xml:space="preserve">) </w:t>
      </w:r>
      <w:r w:rsidRPr="001703E6" w:rsidR="00665BD5">
        <w:rPr>
          <w:rStyle w:val="zGNormalChar"/>
        </w:rPr>
        <w:t>that</w:t>
      </w:r>
      <w:r w:rsidRPr="001703E6" w:rsidR="00134B35">
        <w:rPr>
          <w:rStyle w:val="zGNormalChar"/>
        </w:rPr>
        <w:t xml:space="preserve"> </w:t>
      </w:r>
      <w:r w:rsidRPr="001703E6">
        <w:rPr>
          <w:rStyle w:val="zGNormalChar"/>
        </w:rPr>
        <w:t xml:space="preserve">are associated with, relate to, or concern, or will be associated with, relate to, or concern, the Facility or the Facility Assets, and to which Seller or any of its Affiliates is a party, </w:t>
      </w:r>
      <w:r w:rsidRPr="001703E6" w:rsidR="00665BD5">
        <w:rPr>
          <w:rStyle w:val="zGNormalChar"/>
        </w:rPr>
        <w:t>other than Excluded Assets</w:t>
      </w:r>
      <w:r w:rsidRPr="001703E6" w:rsidR="00414B25">
        <w:rPr>
          <w:rStyle w:val="zGNormalChar"/>
        </w:rPr>
        <w:t xml:space="preserve">, with all Real Property Agreements as listed in Section </w:t>
      </w:r>
      <w:r w:rsidRPr="001703E6" w:rsidR="003057B9">
        <w:rPr>
          <w:rStyle w:val="zGNormalChar"/>
        </w:rPr>
        <w:t>3.12.1</w:t>
      </w:r>
      <w:r w:rsidRPr="001703E6" w:rsidR="00414B25">
        <w:rPr>
          <w:rStyle w:val="zGNormalChar"/>
        </w:rPr>
        <w:t xml:space="preserve"> of the Seller Disclosure Schedule and all other Facility Contracts as listed in Section </w:t>
      </w:r>
      <w:r w:rsidRPr="001703E6" w:rsidR="00253DC8">
        <w:rPr>
          <w:rStyle w:val="zGNormalChar"/>
        </w:rPr>
        <w:t>3.11.1</w:t>
      </w:r>
      <w:r w:rsidRPr="001703E6" w:rsidR="00414B25">
        <w:rPr>
          <w:rStyle w:val="zGNormalChar"/>
        </w:rPr>
        <w:t xml:space="preserve"> of the Seller Disclosure Schedule.</w:t>
      </w:r>
      <w:r w:rsidRPr="001703E6" w:rsidR="00665BD5">
        <w:rPr>
          <w:spacing w:val="0"/>
          <w:sz w:val="20"/>
        </w:rPr>
        <w:t xml:space="preserve"> </w:t>
      </w:r>
    </w:p>
    <w:p w:rsidRPr="001703E6" w:rsidR="00C85DB4" w:rsidP="00C85DB4" w:rsidRDefault="00C85DB4" w14:paraId="0492D491" w14:textId="77777777">
      <w:pPr>
        <w:pStyle w:val="zGNormalDefinition"/>
        <w:spacing w:before="120" w:after="120"/>
        <w:rPr>
          <w:spacing w:val="0"/>
          <w:sz w:val="20"/>
        </w:rPr>
      </w:pPr>
      <w:r w:rsidRPr="001703E6">
        <w:rPr>
          <w:b/>
          <w:bCs/>
          <w:spacing w:val="0"/>
          <w:sz w:val="20"/>
          <w:u w:val="single"/>
        </w:rPr>
        <w:t>Facility Equipment</w:t>
      </w:r>
      <w:r w:rsidRPr="001703E6">
        <w:rPr>
          <w:b/>
          <w:bCs/>
          <w:spacing w:val="0"/>
          <w:sz w:val="20"/>
        </w:rPr>
        <w:t>:</w:t>
      </w:r>
      <w:r w:rsidRPr="001703E6">
        <w:rPr>
          <w:spacing w:val="0"/>
          <w:sz w:val="20"/>
        </w:rPr>
        <w:t xml:space="preserve"> </w:t>
      </w:r>
      <w:r w:rsidRPr="001703E6">
        <w:rPr>
          <w:rStyle w:val="zGNormalChar"/>
        </w:rPr>
        <w:t>All equipment, materials, supplies, tools, inventory, and other tangible personal property comprising the Facility, or otherwise related to, used, or held for use by Seller or any of its Affiliates for or in connection with, or necessary for the operation, maintenance, repair, ownership, or use of the Facility (including all equipment and tangible personal property up to the point of interconnection), in each case, whether located at or deliverable to the Facility Real Property, other than the Excluded Assets, all as listed in Section 3.14.1(i) of the Seller Disclosure Schedule.</w:t>
      </w:r>
    </w:p>
    <w:p w:rsidRPr="001703E6" w:rsidR="00C85DB4" w:rsidP="00C85DB4" w:rsidRDefault="00C85DB4" w14:paraId="0FF17AB2" w14:textId="77777777">
      <w:pPr>
        <w:pStyle w:val="zGNormalDefinition"/>
        <w:spacing w:before="120" w:after="120"/>
        <w:rPr>
          <w:spacing w:val="0"/>
          <w:sz w:val="20"/>
        </w:rPr>
      </w:pPr>
      <w:r w:rsidRPr="001703E6">
        <w:rPr>
          <w:b/>
          <w:bCs/>
          <w:spacing w:val="0"/>
          <w:sz w:val="20"/>
          <w:u w:val="single"/>
        </w:rPr>
        <w:t>Facility Insurance Policies</w:t>
      </w:r>
      <w:r w:rsidRPr="001703E6">
        <w:rPr>
          <w:b/>
          <w:bCs/>
          <w:spacing w:val="0"/>
          <w:sz w:val="20"/>
        </w:rPr>
        <w:t>:</w:t>
      </w:r>
      <w:r w:rsidRPr="001703E6">
        <w:rPr>
          <w:spacing w:val="0"/>
          <w:sz w:val="20"/>
        </w:rPr>
        <w:t xml:space="preserve"> </w:t>
      </w:r>
      <w:r w:rsidRPr="001703E6">
        <w:rPr>
          <w:rStyle w:val="zGNormalChar"/>
        </w:rPr>
        <w:t>All insurance policies maintained by or on behalf of Seller and insuring the Facility or the Facility Assets.</w:t>
      </w:r>
    </w:p>
    <w:p w:rsidRPr="001703E6" w:rsidR="00C85DB4" w:rsidP="00C85DB4" w:rsidRDefault="00C85DB4" w14:paraId="3DFCC519" w14:textId="77777777">
      <w:pPr>
        <w:pStyle w:val="zGNormalDefinition"/>
        <w:spacing w:before="120" w:after="120"/>
        <w:rPr>
          <w:spacing w:val="0"/>
          <w:sz w:val="20"/>
        </w:rPr>
      </w:pPr>
      <w:r w:rsidRPr="001703E6">
        <w:rPr>
          <w:b/>
          <w:bCs/>
          <w:spacing w:val="0"/>
          <w:sz w:val="20"/>
          <w:u w:val="single"/>
        </w:rPr>
        <w:t>Facility Intellectual Property</w:t>
      </w:r>
      <w:r w:rsidRPr="001703E6">
        <w:rPr>
          <w:b/>
          <w:bCs/>
          <w:spacing w:val="0"/>
          <w:sz w:val="20"/>
        </w:rPr>
        <w:t>:</w:t>
      </w:r>
      <w:r w:rsidRPr="001703E6">
        <w:rPr>
          <w:spacing w:val="0"/>
          <w:sz w:val="20"/>
        </w:rPr>
        <w:t xml:space="preserve"> </w:t>
      </w:r>
      <w:r w:rsidRPr="001703E6">
        <w:rPr>
          <w:rStyle w:val="zGNormalChar"/>
        </w:rPr>
        <w:t>All Intellectual Property owned or held by Seller or used or held for use in connection with the ownership, operation, maintenance, repair, or use of the Facility and the Facility Assets.</w:t>
      </w:r>
    </w:p>
    <w:p w:rsidRPr="001703E6" w:rsidR="00C85DB4" w:rsidP="00C85DB4" w:rsidRDefault="00C85DB4" w14:paraId="25222008" w14:textId="77777777">
      <w:pPr>
        <w:pStyle w:val="zGNormalDefinition"/>
        <w:widowControl/>
        <w:spacing w:before="120" w:after="120"/>
        <w:rPr>
          <w:spacing w:val="0"/>
          <w:sz w:val="20"/>
        </w:rPr>
      </w:pPr>
      <w:r w:rsidRPr="001703E6">
        <w:rPr>
          <w:b/>
          <w:bCs/>
          <w:spacing w:val="0"/>
          <w:sz w:val="20"/>
          <w:u w:val="single"/>
        </w:rPr>
        <w:t>Facility IT Assets</w:t>
      </w:r>
      <w:r w:rsidRPr="001703E6">
        <w:rPr>
          <w:b/>
          <w:bCs/>
          <w:spacing w:val="0"/>
          <w:sz w:val="20"/>
        </w:rPr>
        <w:t>:</w:t>
      </w:r>
      <w:r w:rsidRPr="001703E6">
        <w:rPr>
          <w:spacing w:val="0"/>
          <w:sz w:val="20"/>
        </w:rPr>
        <w:t xml:space="preserve"> </w:t>
      </w:r>
      <w:proofErr w:type="gramStart"/>
      <w:r w:rsidRPr="001703E6">
        <w:rPr>
          <w:rStyle w:val="zGNormalChar"/>
        </w:rPr>
        <w:t>All of</w:t>
      </w:r>
      <w:proofErr w:type="gramEnd"/>
      <w:r w:rsidRPr="001703E6">
        <w:rPr>
          <w:rStyle w:val="zGNormalChar"/>
        </w:rPr>
        <w:t xml:space="preserve"> the software, computer systems, workstations, routers, hubs, switches, circuits, servers, and other information technology equipment of the Seller used in connection with the Facility or the Facility Assets.</w:t>
      </w:r>
    </w:p>
    <w:p w:rsidRPr="001703E6" w:rsidR="00C85DB4" w:rsidP="00C85DB4" w:rsidRDefault="00C85DB4" w14:paraId="2933A57B" w14:textId="77777777">
      <w:pPr>
        <w:pStyle w:val="zGNormalDefinition"/>
        <w:spacing w:before="120" w:after="120"/>
        <w:rPr>
          <w:spacing w:val="0"/>
          <w:sz w:val="20"/>
        </w:rPr>
      </w:pPr>
      <w:r w:rsidRPr="001703E6">
        <w:rPr>
          <w:b/>
          <w:bCs/>
          <w:spacing w:val="0"/>
          <w:sz w:val="20"/>
          <w:u w:val="single"/>
        </w:rPr>
        <w:t>Facility Nameplate Capacity</w:t>
      </w:r>
      <w:r w:rsidRPr="001703E6">
        <w:rPr>
          <w:b/>
          <w:bCs/>
          <w:spacing w:val="0"/>
          <w:sz w:val="20"/>
        </w:rPr>
        <w:t>:</w:t>
      </w:r>
      <w:r w:rsidRPr="001703E6">
        <w:rPr>
          <w:spacing w:val="0"/>
          <w:sz w:val="20"/>
        </w:rPr>
        <w:t xml:space="preserve"> </w:t>
      </w:r>
      <w:r w:rsidRPr="001703E6">
        <w:rPr>
          <w:rStyle w:val="zGNormalChar"/>
        </w:rPr>
        <w:t>The nameplate capacity (in MW (AC)) specified in Exhibit A-1 (</w:t>
      </w:r>
      <w:r w:rsidRPr="001703E6">
        <w:rPr>
          <w:rStyle w:val="zGNormalChar"/>
          <w:i/>
          <w:iCs/>
        </w:rPr>
        <w:t>Facility Information and Additional Details</w:t>
      </w:r>
      <w:r w:rsidRPr="001703E6">
        <w:rPr>
          <w:rStyle w:val="zGNormalChar"/>
        </w:rPr>
        <w:t>).</w:t>
      </w:r>
    </w:p>
    <w:p w:rsidRPr="001703E6" w:rsidR="00C85DB4" w:rsidP="00C85DB4" w:rsidRDefault="00C85DB4" w14:paraId="3D60199B" w14:textId="77777777">
      <w:pPr>
        <w:pStyle w:val="zGNormalDefinition"/>
        <w:spacing w:before="120" w:after="120"/>
        <w:rPr>
          <w:spacing w:val="0"/>
          <w:sz w:val="20"/>
        </w:rPr>
      </w:pPr>
      <w:r w:rsidRPr="001703E6">
        <w:rPr>
          <w:b/>
          <w:bCs/>
          <w:spacing w:val="0"/>
          <w:sz w:val="20"/>
          <w:u w:val="single"/>
        </w:rPr>
        <w:t>Facility Permits</w:t>
      </w:r>
      <w:r w:rsidRPr="001703E6">
        <w:rPr>
          <w:b/>
          <w:bCs/>
          <w:spacing w:val="0"/>
          <w:sz w:val="20"/>
        </w:rPr>
        <w:t>:</w:t>
      </w:r>
      <w:r w:rsidRPr="001703E6">
        <w:rPr>
          <w:spacing w:val="0"/>
          <w:sz w:val="20"/>
        </w:rPr>
        <w:t xml:space="preserve"> </w:t>
      </w:r>
      <w:r w:rsidRPr="001703E6">
        <w:rPr>
          <w:rStyle w:val="zGNormalChar"/>
        </w:rPr>
        <w:t>All Permits required by applicable law and Prudent Utility Practices for the ownership, occupancy, operation, maintenance, repair, and use of the Facility at the site of the Facility, and the generation, transmission, and sale of electric power.</w:t>
      </w:r>
    </w:p>
    <w:p w:rsidRPr="001703E6" w:rsidR="00C85DB4" w:rsidP="00C85DB4" w:rsidRDefault="00C85DB4" w14:paraId="2AC31272" w14:textId="77777777">
      <w:pPr>
        <w:pStyle w:val="zGNormalDefinition"/>
        <w:spacing w:before="120" w:after="120"/>
        <w:rPr>
          <w:spacing w:val="0"/>
          <w:sz w:val="20"/>
        </w:rPr>
      </w:pPr>
      <w:r w:rsidRPr="001703E6">
        <w:rPr>
          <w:b/>
          <w:bCs/>
          <w:spacing w:val="0"/>
          <w:sz w:val="20"/>
          <w:u w:val="single"/>
        </w:rPr>
        <w:t>Facility Real Property</w:t>
      </w:r>
      <w:r w:rsidRPr="001703E6">
        <w:rPr>
          <w:b/>
          <w:bCs/>
          <w:spacing w:val="0"/>
          <w:sz w:val="20"/>
        </w:rPr>
        <w:t>:</w:t>
      </w:r>
      <w:r w:rsidRPr="001703E6">
        <w:rPr>
          <w:spacing w:val="0"/>
          <w:sz w:val="20"/>
        </w:rPr>
        <w:t xml:space="preserve"> </w:t>
      </w:r>
      <w:r w:rsidRPr="001703E6">
        <w:rPr>
          <w:rStyle w:val="zGNormalChar"/>
        </w:rPr>
        <w:t>As defined in Section 3.12.1 (</w:t>
      </w:r>
      <w:r w:rsidRPr="001703E6">
        <w:rPr>
          <w:rStyle w:val="zGNormalChar"/>
          <w:i/>
          <w:iCs/>
        </w:rPr>
        <w:t>Real Property Agreements</w:t>
      </w:r>
      <w:r w:rsidRPr="001703E6">
        <w:rPr>
          <w:rStyle w:val="zGNormalChar"/>
        </w:rPr>
        <w:t>).</w:t>
      </w:r>
    </w:p>
    <w:p w:rsidRPr="001703E6" w:rsidR="004C5906" w:rsidP="00B62EAE" w:rsidRDefault="0012293B" w14:paraId="18A76FAA" w14:textId="77777777">
      <w:pPr>
        <w:pStyle w:val="zGNormalDefinition"/>
        <w:rPr>
          <w:sz w:val="20"/>
        </w:rPr>
      </w:pPr>
      <w:r w:rsidRPr="001703E6">
        <w:rPr>
          <w:b/>
          <w:bCs/>
          <w:sz w:val="20"/>
          <w:u w:val="single"/>
        </w:rPr>
        <w:t>FCC Approval</w:t>
      </w:r>
      <w:r w:rsidRPr="001703E6">
        <w:rPr>
          <w:b/>
          <w:bCs/>
          <w:sz w:val="20"/>
        </w:rPr>
        <w:t>:</w:t>
      </w:r>
      <w:r w:rsidRPr="001703E6">
        <w:rPr>
          <w:sz w:val="20"/>
        </w:rPr>
        <w:t xml:space="preserve"> </w:t>
      </w:r>
      <w:r w:rsidRPr="001703E6">
        <w:rPr>
          <w:rStyle w:val="zGNormalChar"/>
        </w:rPr>
        <w:t>Any required authorization from the Federal Communications Commission, or any successor agency to the FCC, regarding the transaction contemplated by this APA.</w:t>
      </w:r>
    </w:p>
    <w:p w:rsidRPr="001703E6" w:rsidR="0029492C" w:rsidP="00B71D5E" w:rsidRDefault="0029492C" w14:paraId="6A7394D6" w14:textId="77777777">
      <w:pPr>
        <w:pStyle w:val="zGNormalDefinition"/>
        <w:widowControl/>
        <w:spacing w:before="120" w:after="120"/>
        <w:rPr>
          <w:spacing w:val="0"/>
          <w:sz w:val="20"/>
        </w:rPr>
      </w:pPr>
      <w:r w:rsidRPr="001703E6">
        <w:rPr>
          <w:b/>
          <w:bCs/>
          <w:spacing w:val="0"/>
          <w:sz w:val="20"/>
          <w:u w:val="single"/>
        </w:rPr>
        <w:t>FERC</w:t>
      </w:r>
      <w:r w:rsidRPr="001703E6">
        <w:rPr>
          <w:b/>
          <w:bCs/>
          <w:spacing w:val="0"/>
          <w:sz w:val="20"/>
        </w:rPr>
        <w:t>:</w:t>
      </w:r>
      <w:r w:rsidRPr="001703E6">
        <w:rPr>
          <w:spacing w:val="0"/>
          <w:sz w:val="20"/>
        </w:rPr>
        <w:t xml:space="preserve"> </w:t>
      </w:r>
      <w:r w:rsidRPr="001703E6">
        <w:rPr>
          <w:rStyle w:val="zGNormalChar"/>
        </w:rPr>
        <w:t xml:space="preserve">Federal Energy Regulatory Commission, or any Governmental Authority succeeding </w:t>
      </w:r>
      <w:proofErr w:type="gramStart"/>
      <w:r w:rsidRPr="001703E6">
        <w:rPr>
          <w:rStyle w:val="zGNormalChar"/>
        </w:rPr>
        <w:t>to</w:t>
      </w:r>
      <w:proofErr w:type="gramEnd"/>
      <w:r w:rsidRPr="001703E6">
        <w:rPr>
          <w:rStyle w:val="zGNormalChar"/>
        </w:rPr>
        <w:t xml:space="preserve"> the powers and functions thereof.</w:t>
      </w:r>
    </w:p>
    <w:p w:rsidRPr="001703E6" w:rsidR="005638B9" w:rsidP="00B62EAE" w:rsidRDefault="005638B9" w14:paraId="6F21CBE7" w14:textId="77777777">
      <w:pPr>
        <w:pStyle w:val="zGNormalDefinition"/>
        <w:rPr>
          <w:sz w:val="20"/>
        </w:rPr>
      </w:pPr>
      <w:r w:rsidRPr="001703E6">
        <w:rPr>
          <w:b/>
          <w:bCs/>
          <w:sz w:val="20"/>
          <w:u w:val="single"/>
        </w:rPr>
        <w:t>FERC Approval</w:t>
      </w:r>
      <w:r w:rsidRPr="001703E6">
        <w:rPr>
          <w:b/>
          <w:bCs/>
          <w:sz w:val="20"/>
        </w:rPr>
        <w:t>:</w:t>
      </w:r>
      <w:r w:rsidRPr="001703E6">
        <w:rPr>
          <w:sz w:val="20"/>
        </w:rPr>
        <w:t xml:space="preserve"> </w:t>
      </w:r>
      <w:r w:rsidRPr="001703E6">
        <w:rPr>
          <w:rStyle w:val="zGNormalChar"/>
        </w:rPr>
        <w:t>FERC approval required under Section 203 or Section 205 and any related requirements of the Federal Power Act of 1935, as amended, and the rules and regulations promulgated under the Federal Power Act of 1935, regarding to the transactions contemplated by this APA.</w:t>
      </w:r>
    </w:p>
    <w:p w:rsidRPr="001703E6" w:rsidR="00370D64" w:rsidP="00B71D5E" w:rsidRDefault="000976E5" w14:paraId="7E9847E9" w14:textId="77777777">
      <w:pPr>
        <w:pStyle w:val="zGNormalDefinition"/>
        <w:spacing w:before="120" w:after="120"/>
        <w:rPr>
          <w:spacing w:val="0"/>
          <w:sz w:val="20"/>
        </w:rPr>
      </w:pPr>
      <w:r w:rsidRPr="001703E6">
        <w:rPr>
          <w:b/>
          <w:bCs/>
          <w:spacing w:val="0"/>
          <w:sz w:val="20"/>
          <w:u w:val="single"/>
        </w:rPr>
        <w:t>Final Closing Adjustment Statement</w:t>
      </w:r>
      <w:r w:rsidRPr="001703E6">
        <w:rPr>
          <w:b/>
          <w:bCs/>
          <w:spacing w:val="0"/>
          <w:sz w:val="20"/>
        </w:rPr>
        <w:t>:</w:t>
      </w:r>
      <w:r w:rsidRPr="001703E6">
        <w:rPr>
          <w:spacing w:val="0"/>
          <w:sz w:val="20"/>
        </w:rPr>
        <w:t xml:space="preserve"> </w:t>
      </w:r>
      <w:r w:rsidRPr="001703E6">
        <w:rPr>
          <w:rStyle w:val="zGNormalChar"/>
        </w:rPr>
        <w:t>As defined in Section 2.2.3(iii) (</w:t>
      </w:r>
      <w:r w:rsidRPr="001703E6">
        <w:rPr>
          <w:rStyle w:val="zGNormalChar"/>
          <w:i/>
          <w:iCs/>
        </w:rPr>
        <w:t>Definitions of Final Closing Adjustment Statement and Final Closing Working Capital</w:t>
      </w:r>
      <w:r w:rsidRPr="001703E6">
        <w:rPr>
          <w:rStyle w:val="zGNormalChar"/>
        </w:rPr>
        <w:t>).</w:t>
      </w:r>
    </w:p>
    <w:p w:rsidRPr="001703E6" w:rsidR="005A7C7B" w:rsidP="00B62EAE" w:rsidRDefault="005A7C7B" w14:paraId="330BC489" w14:textId="77777777">
      <w:pPr>
        <w:pStyle w:val="zGNormalDefinition"/>
        <w:rPr>
          <w:sz w:val="20"/>
        </w:rPr>
      </w:pPr>
      <w:r w:rsidRPr="001703E6">
        <w:rPr>
          <w:b/>
          <w:sz w:val="20"/>
          <w:u w:val="single"/>
        </w:rPr>
        <w:t>Final Closing Working Capital</w:t>
      </w:r>
      <w:r w:rsidRPr="001703E6">
        <w:rPr>
          <w:b/>
          <w:sz w:val="20"/>
        </w:rPr>
        <w:t>:</w:t>
      </w:r>
      <w:r w:rsidRPr="001703E6">
        <w:rPr>
          <w:sz w:val="20"/>
        </w:rPr>
        <w:t xml:space="preserve"> </w:t>
      </w:r>
      <w:r w:rsidRPr="001703E6">
        <w:rPr>
          <w:rStyle w:val="zGNormalChar"/>
        </w:rPr>
        <w:t>As defined in Section 2.2.3(iii) (</w:t>
      </w:r>
      <w:r w:rsidRPr="001703E6">
        <w:rPr>
          <w:rStyle w:val="zGNormalChar"/>
          <w:i/>
          <w:iCs/>
        </w:rPr>
        <w:t>Definitions of Final Closing Adjustment Statement and Final Closing Working Capital</w:t>
      </w:r>
      <w:r w:rsidRPr="001703E6">
        <w:rPr>
          <w:rStyle w:val="zGNormalChar"/>
        </w:rPr>
        <w:t>).</w:t>
      </w:r>
    </w:p>
    <w:p w:rsidRPr="001703E6" w:rsidR="0029492C" w:rsidP="00B71D5E" w:rsidRDefault="0029492C" w14:paraId="657F7E3B" w14:textId="77777777">
      <w:pPr>
        <w:pStyle w:val="zGNormalDefinition"/>
        <w:spacing w:before="120" w:after="120"/>
        <w:rPr>
          <w:rStyle w:val="zGNormalChar"/>
        </w:rPr>
      </w:pPr>
      <w:r w:rsidRPr="001703E6">
        <w:rPr>
          <w:b/>
          <w:bCs/>
          <w:spacing w:val="0"/>
          <w:sz w:val="20"/>
          <w:u w:val="single"/>
        </w:rPr>
        <w:t>Financial Statements</w:t>
      </w:r>
      <w:r w:rsidRPr="001703E6">
        <w:rPr>
          <w:b/>
          <w:bCs/>
          <w:spacing w:val="0"/>
          <w:sz w:val="20"/>
        </w:rPr>
        <w:t>:</w:t>
      </w:r>
      <w:r w:rsidRPr="001703E6">
        <w:rPr>
          <w:spacing w:val="0"/>
          <w:sz w:val="20"/>
        </w:rPr>
        <w:t xml:space="preserve"> </w:t>
      </w:r>
      <w:r w:rsidRPr="001703E6">
        <w:rPr>
          <w:rStyle w:val="zGNormalChar"/>
        </w:rPr>
        <w:t>As defined in Section 3.16.1 (</w:t>
      </w:r>
      <w:r w:rsidRPr="001703E6">
        <w:rPr>
          <w:rStyle w:val="zGNormalChar"/>
          <w:i/>
          <w:iCs/>
        </w:rPr>
        <w:t>Seller Financial Statements</w:t>
      </w:r>
      <w:r w:rsidRPr="001703E6">
        <w:rPr>
          <w:rStyle w:val="zGNormalChar"/>
        </w:rPr>
        <w:t>).</w:t>
      </w:r>
    </w:p>
    <w:p w:rsidRPr="001703E6" w:rsidR="0050190A" w:rsidP="00B71D5E" w:rsidRDefault="0050190A" w14:paraId="671A7BB1" w14:textId="77777777">
      <w:pPr>
        <w:pStyle w:val="zGNormalDefinition"/>
        <w:widowControl/>
        <w:spacing w:before="120" w:after="120"/>
        <w:rPr>
          <w:spacing w:val="0"/>
          <w:sz w:val="20"/>
        </w:rPr>
      </w:pPr>
      <w:r w:rsidRPr="001703E6">
        <w:rPr>
          <w:b/>
          <w:bCs/>
          <w:spacing w:val="0"/>
          <w:sz w:val="20"/>
          <w:u w:val="single"/>
        </w:rPr>
        <w:t>Fitch</w:t>
      </w:r>
      <w:r w:rsidRPr="001703E6">
        <w:rPr>
          <w:b/>
          <w:bCs/>
          <w:spacing w:val="0"/>
          <w:sz w:val="20"/>
        </w:rPr>
        <w:t>:</w:t>
      </w:r>
      <w:r w:rsidRPr="001703E6">
        <w:rPr>
          <w:spacing w:val="0"/>
          <w:sz w:val="20"/>
        </w:rPr>
        <w:t xml:space="preserve"> </w:t>
      </w:r>
      <w:r w:rsidRPr="001703E6">
        <w:rPr>
          <w:rStyle w:val="zGNormalChar"/>
        </w:rPr>
        <w:t>Fitch Ratings Ltd. or its successor. If Fitch ceases to exist or publish ratings, Fitch will mean a nationally recognized rating agency mutually agreed upon by the Parties.</w:t>
      </w:r>
    </w:p>
    <w:p w:rsidRPr="001703E6" w:rsidR="0029492C" w:rsidP="00B71D5E" w:rsidRDefault="0029492C" w14:paraId="7E082278" w14:textId="7649B426">
      <w:pPr>
        <w:pStyle w:val="zGNormalDefinition"/>
        <w:widowControl/>
        <w:spacing w:before="120" w:after="120"/>
        <w:rPr>
          <w:spacing w:val="0"/>
          <w:sz w:val="20"/>
        </w:rPr>
      </w:pPr>
      <w:r w:rsidRPr="001703E6">
        <w:rPr>
          <w:b/>
          <w:bCs/>
          <w:spacing w:val="0"/>
          <w:sz w:val="20"/>
          <w:u w:val="single"/>
        </w:rPr>
        <w:t>GAAP</w:t>
      </w:r>
      <w:r w:rsidRPr="001703E6">
        <w:rPr>
          <w:b/>
          <w:bCs/>
          <w:spacing w:val="0"/>
          <w:sz w:val="20"/>
        </w:rPr>
        <w:t>:</w:t>
      </w:r>
      <w:r w:rsidRPr="001703E6">
        <w:rPr>
          <w:spacing w:val="0"/>
          <w:sz w:val="20"/>
        </w:rPr>
        <w:t xml:space="preserve"> </w:t>
      </w:r>
      <w:r w:rsidRPr="001703E6">
        <w:rPr>
          <w:rStyle w:val="zGNormalChar"/>
        </w:rPr>
        <w:t>Generally accepted accounting principles in the United States of America, as modified from time to time.</w:t>
      </w:r>
    </w:p>
    <w:p w:rsidRPr="001703E6" w:rsidR="00E91BC6" w:rsidP="00B71D5E" w:rsidRDefault="00E91BC6" w14:paraId="191F4863" w14:textId="77777777">
      <w:pPr>
        <w:pStyle w:val="zGNormalDefinition"/>
        <w:spacing w:before="120" w:after="120"/>
        <w:rPr>
          <w:spacing w:val="0"/>
          <w:sz w:val="20"/>
        </w:rPr>
      </w:pPr>
      <w:r w:rsidRPr="001703E6">
        <w:rPr>
          <w:b/>
          <w:bCs/>
          <w:spacing w:val="0"/>
          <w:sz w:val="20"/>
          <w:u w:val="single"/>
        </w:rPr>
        <w:t>Good Faith Effort</w:t>
      </w:r>
      <w:r w:rsidRPr="001703E6">
        <w:rPr>
          <w:b/>
          <w:bCs/>
          <w:spacing w:val="0"/>
          <w:sz w:val="20"/>
        </w:rPr>
        <w:t>:</w:t>
      </w:r>
      <w:r w:rsidRPr="001703E6">
        <w:rPr>
          <w:spacing w:val="0"/>
          <w:sz w:val="20"/>
        </w:rPr>
        <w:t xml:space="preserve"> </w:t>
      </w:r>
      <w:r w:rsidRPr="001703E6">
        <w:rPr>
          <w:rStyle w:val="zGNormalChar"/>
        </w:rPr>
        <w:t>As defined in Section 3.19(xi) (</w:t>
      </w:r>
      <w:r w:rsidRPr="001703E6">
        <w:rPr>
          <w:rStyle w:val="zGNormalChar"/>
          <w:i/>
          <w:iCs/>
        </w:rPr>
        <w:t>Tax Benefits</w:t>
      </w:r>
      <w:r w:rsidRPr="001703E6">
        <w:rPr>
          <w:rStyle w:val="zGNormalChar"/>
        </w:rPr>
        <w:t>).</w:t>
      </w:r>
    </w:p>
    <w:p w:rsidRPr="001703E6" w:rsidR="0029492C" w:rsidP="00B71D5E" w:rsidRDefault="0029492C" w14:paraId="6028BBEE" w14:textId="77777777">
      <w:pPr>
        <w:pStyle w:val="zGNormalDefinition"/>
        <w:spacing w:before="120" w:after="120"/>
        <w:rPr>
          <w:spacing w:val="0"/>
          <w:sz w:val="20"/>
        </w:rPr>
      </w:pPr>
      <w:r w:rsidRPr="001703E6">
        <w:rPr>
          <w:b/>
          <w:bCs/>
          <w:spacing w:val="0"/>
          <w:sz w:val="20"/>
          <w:u w:val="single"/>
        </w:rPr>
        <w:lastRenderedPageBreak/>
        <w:t>Governmental Authority</w:t>
      </w:r>
      <w:r w:rsidRPr="001703E6">
        <w:rPr>
          <w:b/>
          <w:bCs/>
          <w:spacing w:val="0"/>
          <w:sz w:val="20"/>
        </w:rPr>
        <w:t>:</w:t>
      </w:r>
      <w:r w:rsidRPr="001703E6">
        <w:rPr>
          <w:spacing w:val="0"/>
          <w:sz w:val="20"/>
        </w:rPr>
        <w:t xml:space="preserve"> </w:t>
      </w:r>
      <w:r w:rsidRPr="001703E6">
        <w:rPr>
          <w:rStyle w:val="zGNormalChar"/>
        </w:rPr>
        <w:t>Any court, tribunal, arbitrator, authority, agency, commission, legislative body, official, or other instrumentality of the United States or any foreign, state, county, city, or other political subdivision or similar governing entity, and including any governmental, quasi-governmental, or non-governmental body administering, regulating, or having general oversight over electric reliability or gas, electricity, power, or other markets.</w:t>
      </w:r>
    </w:p>
    <w:p w:rsidRPr="001703E6" w:rsidR="00375AE6" w:rsidP="00B62EAE" w:rsidRDefault="0029492C" w14:paraId="15BE7B9F" w14:textId="78D07E92">
      <w:pPr>
        <w:pStyle w:val="zGNormalDefinition"/>
        <w:rPr>
          <w:sz w:val="20"/>
        </w:rPr>
      </w:pPr>
      <w:r w:rsidRPr="001703E6">
        <w:rPr>
          <w:b/>
          <w:bCs/>
          <w:sz w:val="20"/>
          <w:u w:val="single"/>
        </w:rPr>
        <w:t>GPC</w:t>
      </w:r>
      <w:r w:rsidRPr="001703E6">
        <w:rPr>
          <w:b/>
          <w:bCs/>
          <w:sz w:val="20"/>
        </w:rPr>
        <w:t>:</w:t>
      </w:r>
      <w:r w:rsidRPr="001703E6">
        <w:rPr>
          <w:sz w:val="20"/>
        </w:rPr>
        <w:t xml:space="preserve"> </w:t>
      </w:r>
      <w:r w:rsidRPr="001703E6">
        <w:rPr>
          <w:rStyle w:val="zGNormalChar"/>
        </w:rPr>
        <w:t xml:space="preserve">Georgia Power Company, a Georgia corporation, </w:t>
      </w:r>
      <w:r w:rsidRPr="001703E6" w:rsidR="0027686D">
        <w:rPr>
          <w:rStyle w:val="zGNormalChar"/>
        </w:rPr>
        <w:t>as specified in the preamble</w:t>
      </w:r>
      <w:r w:rsidRPr="001703E6">
        <w:rPr>
          <w:rStyle w:val="zGNormalChar"/>
        </w:rPr>
        <w:t>.</w:t>
      </w:r>
    </w:p>
    <w:p w:rsidRPr="001703E6" w:rsidR="0029492C" w:rsidP="00B71D5E" w:rsidRDefault="0029492C" w14:paraId="4799344A" w14:textId="02EA2012">
      <w:pPr>
        <w:pStyle w:val="zGNormalDefinition"/>
        <w:spacing w:before="120" w:after="120"/>
        <w:rPr>
          <w:spacing w:val="0"/>
          <w:sz w:val="20"/>
        </w:rPr>
      </w:pPr>
      <w:r w:rsidRPr="001703E6">
        <w:rPr>
          <w:b/>
          <w:bCs/>
          <w:spacing w:val="0"/>
          <w:sz w:val="20"/>
          <w:u w:val="single"/>
        </w:rPr>
        <w:t>GPC Closing Certificate</w:t>
      </w:r>
      <w:r w:rsidRPr="001703E6">
        <w:rPr>
          <w:b/>
          <w:bCs/>
          <w:spacing w:val="0"/>
          <w:sz w:val="20"/>
        </w:rPr>
        <w:t>:</w:t>
      </w:r>
      <w:r w:rsidRPr="001703E6">
        <w:rPr>
          <w:spacing w:val="0"/>
          <w:sz w:val="20"/>
        </w:rPr>
        <w:t xml:space="preserve"> </w:t>
      </w:r>
      <w:r w:rsidRPr="001703E6">
        <w:rPr>
          <w:rStyle w:val="zGNormalChar"/>
        </w:rPr>
        <w:t>As defined in Section 6.3.3(v) (</w:t>
      </w:r>
      <w:r w:rsidRPr="001703E6">
        <w:rPr>
          <w:rStyle w:val="zGNormalChar"/>
          <w:i/>
          <w:iCs/>
        </w:rPr>
        <w:t>GPC Closing Deliveries</w:t>
      </w:r>
      <w:r w:rsidRPr="001703E6">
        <w:rPr>
          <w:rStyle w:val="zGNormalChar"/>
        </w:rPr>
        <w:t>).</w:t>
      </w:r>
    </w:p>
    <w:p w:rsidRPr="001703E6" w:rsidR="00DD3888" w:rsidP="00B71D5E" w:rsidRDefault="00DD3888" w14:paraId="5B77D731" w14:textId="77777777">
      <w:pPr>
        <w:pStyle w:val="zGNormalDefinition"/>
        <w:spacing w:before="120" w:after="120"/>
        <w:rPr>
          <w:spacing w:val="0"/>
          <w:sz w:val="20"/>
        </w:rPr>
      </w:pPr>
      <w:r w:rsidRPr="001703E6">
        <w:rPr>
          <w:b/>
          <w:bCs/>
          <w:spacing w:val="0"/>
          <w:sz w:val="20"/>
          <w:u w:val="single"/>
        </w:rPr>
        <w:t>GPC Employer</w:t>
      </w:r>
      <w:r w:rsidRPr="001703E6">
        <w:rPr>
          <w:b/>
          <w:bCs/>
          <w:spacing w:val="0"/>
          <w:sz w:val="20"/>
        </w:rPr>
        <w:t>:</w:t>
      </w:r>
      <w:r w:rsidRPr="001703E6">
        <w:rPr>
          <w:spacing w:val="0"/>
          <w:sz w:val="20"/>
        </w:rPr>
        <w:t xml:space="preserve"> </w:t>
      </w:r>
      <w:r w:rsidRPr="001703E6">
        <w:rPr>
          <w:rStyle w:val="zGNormalChar"/>
        </w:rPr>
        <w:t>As defined in Section 5.20.1 (</w:t>
      </w:r>
      <w:r w:rsidRPr="001703E6">
        <w:rPr>
          <w:rStyle w:val="zGNormalChar"/>
          <w:i/>
          <w:iCs/>
        </w:rPr>
        <w:t>Employee Screenings</w:t>
      </w:r>
      <w:r w:rsidRPr="001703E6">
        <w:rPr>
          <w:rStyle w:val="zGNormalChar"/>
        </w:rPr>
        <w:t>).</w:t>
      </w:r>
    </w:p>
    <w:p w:rsidRPr="001703E6" w:rsidR="0029492C" w:rsidP="00B71D5E" w:rsidRDefault="0029492C" w14:paraId="1F876A9D" w14:textId="77777777">
      <w:pPr>
        <w:pStyle w:val="zGNormalDefinition"/>
        <w:spacing w:before="120" w:after="120"/>
        <w:rPr>
          <w:spacing w:val="0"/>
          <w:sz w:val="20"/>
        </w:rPr>
      </w:pPr>
      <w:r w:rsidRPr="001703E6">
        <w:rPr>
          <w:b/>
          <w:bCs/>
          <w:spacing w:val="0"/>
          <w:sz w:val="20"/>
          <w:u w:val="single"/>
        </w:rPr>
        <w:t>GPC Fundamental Representations</w:t>
      </w:r>
      <w:r w:rsidRPr="001703E6">
        <w:rPr>
          <w:b/>
          <w:bCs/>
          <w:spacing w:val="0"/>
          <w:sz w:val="20"/>
        </w:rPr>
        <w:t>:</w:t>
      </w:r>
      <w:r w:rsidRPr="001703E6">
        <w:rPr>
          <w:spacing w:val="0"/>
          <w:sz w:val="20"/>
        </w:rPr>
        <w:t xml:space="preserve"> </w:t>
      </w:r>
      <w:r w:rsidRPr="001703E6">
        <w:rPr>
          <w:rStyle w:val="zGNormalChar"/>
        </w:rPr>
        <w:t>The representations and warranties set forth in Section 4.1 (</w:t>
      </w:r>
      <w:r w:rsidRPr="001703E6">
        <w:rPr>
          <w:rStyle w:val="zGNormalChar"/>
          <w:i/>
          <w:iCs/>
        </w:rPr>
        <w:t>Organization; Existence</w:t>
      </w:r>
      <w:r w:rsidRPr="001703E6">
        <w:rPr>
          <w:rStyle w:val="zGNormalChar"/>
        </w:rPr>
        <w:t>), Section 4.2 (</w:t>
      </w:r>
      <w:r w:rsidRPr="001703E6">
        <w:rPr>
          <w:rStyle w:val="zGNormalChar"/>
          <w:i/>
          <w:iCs/>
        </w:rPr>
        <w:t>Authorization; Enforceability</w:t>
      </w:r>
      <w:r w:rsidRPr="001703E6">
        <w:rPr>
          <w:rStyle w:val="zGNormalChar"/>
        </w:rPr>
        <w:t>), and Section 4.7 (</w:t>
      </w:r>
      <w:r w:rsidRPr="001703E6">
        <w:rPr>
          <w:rStyle w:val="zGNormalChar"/>
          <w:i/>
          <w:iCs/>
        </w:rPr>
        <w:t>Brokers</w:t>
      </w:r>
      <w:r w:rsidRPr="001703E6">
        <w:rPr>
          <w:rStyle w:val="zGNormalChar"/>
        </w:rPr>
        <w:t>).</w:t>
      </w:r>
    </w:p>
    <w:p w:rsidRPr="001703E6" w:rsidR="0029492C" w:rsidP="00B71D5E" w:rsidRDefault="0029492C" w14:paraId="2911CD85" w14:textId="77777777">
      <w:pPr>
        <w:pStyle w:val="zGNormalDefinition"/>
        <w:spacing w:before="120" w:after="120"/>
        <w:rPr>
          <w:spacing w:val="0"/>
          <w:sz w:val="20"/>
        </w:rPr>
      </w:pPr>
      <w:r w:rsidRPr="001703E6">
        <w:rPr>
          <w:b/>
          <w:bCs/>
          <w:spacing w:val="0"/>
          <w:sz w:val="20"/>
          <w:u w:val="single"/>
        </w:rPr>
        <w:t>GPC Material Adverse Effect</w:t>
      </w:r>
      <w:r w:rsidRPr="001703E6">
        <w:rPr>
          <w:b/>
          <w:bCs/>
          <w:spacing w:val="0"/>
          <w:sz w:val="20"/>
        </w:rPr>
        <w:t>:</w:t>
      </w:r>
      <w:r w:rsidRPr="001703E6">
        <w:rPr>
          <w:spacing w:val="0"/>
          <w:sz w:val="20"/>
        </w:rPr>
        <w:t xml:space="preserve"> </w:t>
      </w:r>
      <w:r w:rsidRPr="001703E6">
        <w:rPr>
          <w:rStyle w:val="zGNormalChar"/>
        </w:rPr>
        <w:t>Any change, event, circumstance, development, occurrence, or effect that, individually or in the aggregate with any other change, event, circumstance, development, occurrence, or effect, would reasonably be expected to prevent, or materially delay, the ability of GPC to perform its obligations under this APA or consummate the transactions contemplated by this APA.</w:t>
      </w:r>
    </w:p>
    <w:p w:rsidRPr="001703E6" w:rsidR="003A029B" w:rsidP="00B71D5E" w:rsidRDefault="003A029B" w14:paraId="2B0641E8" w14:textId="3D9BC3A7">
      <w:pPr>
        <w:pStyle w:val="zGNormalDefinition"/>
        <w:spacing w:before="120" w:after="120"/>
        <w:rPr>
          <w:spacing w:val="0"/>
          <w:sz w:val="20"/>
        </w:rPr>
      </w:pPr>
      <w:r w:rsidRPr="001703E6">
        <w:rPr>
          <w:b/>
          <w:bCs/>
          <w:spacing w:val="0"/>
          <w:sz w:val="20"/>
          <w:u w:val="single"/>
        </w:rPr>
        <w:t>GPC On-Site Representatives</w:t>
      </w:r>
      <w:r w:rsidRPr="001703E6">
        <w:rPr>
          <w:b/>
          <w:bCs/>
          <w:spacing w:val="0"/>
          <w:sz w:val="20"/>
        </w:rPr>
        <w:t>:</w:t>
      </w:r>
      <w:r w:rsidRPr="001703E6">
        <w:rPr>
          <w:spacing w:val="0"/>
          <w:sz w:val="20"/>
        </w:rPr>
        <w:t xml:space="preserve"> </w:t>
      </w:r>
      <w:r w:rsidRPr="001703E6">
        <w:rPr>
          <w:rStyle w:val="zGNormalChar"/>
        </w:rPr>
        <w:t>As defined in Section 5.2.2(i) (</w:t>
      </w:r>
      <w:r w:rsidRPr="001703E6">
        <w:rPr>
          <w:rStyle w:val="zGNormalChar"/>
          <w:i/>
          <w:iCs/>
        </w:rPr>
        <w:t>GPC On-Site Representatives</w:t>
      </w:r>
      <w:r w:rsidRPr="001703E6">
        <w:rPr>
          <w:rStyle w:val="zGNormalChar"/>
        </w:rPr>
        <w:t>).</w:t>
      </w:r>
    </w:p>
    <w:p w:rsidRPr="001703E6" w:rsidR="00D3301B" w:rsidP="00B71D5E" w:rsidRDefault="00D3301B" w14:paraId="2A1B2BE9" w14:textId="77777777">
      <w:pPr>
        <w:pStyle w:val="zGNormalDefinition"/>
        <w:spacing w:before="120" w:after="120"/>
        <w:rPr>
          <w:rStyle w:val="zGNormalChar"/>
        </w:rPr>
      </w:pPr>
      <w:r w:rsidRPr="001703E6">
        <w:rPr>
          <w:b/>
          <w:bCs/>
          <w:spacing w:val="0"/>
          <w:sz w:val="20"/>
          <w:u w:val="single"/>
        </w:rPr>
        <w:t>GPC Termination Payment</w:t>
      </w:r>
      <w:r w:rsidRPr="001703E6">
        <w:rPr>
          <w:b/>
          <w:bCs/>
          <w:spacing w:val="0"/>
          <w:sz w:val="20"/>
        </w:rPr>
        <w:t>:</w:t>
      </w:r>
      <w:r w:rsidRPr="001703E6">
        <w:rPr>
          <w:spacing w:val="0"/>
          <w:sz w:val="20"/>
        </w:rPr>
        <w:t xml:space="preserve"> </w:t>
      </w:r>
      <w:r w:rsidRPr="001703E6">
        <w:rPr>
          <w:rStyle w:val="zGNormalChar"/>
        </w:rPr>
        <w:t>The amount specified in Exhibit A-1 (</w:t>
      </w:r>
      <w:r w:rsidRPr="001703E6">
        <w:rPr>
          <w:rStyle w:val="zGNormalChar"/>
          <w:i/>
          <w:iCs/>
        </w:rPr>
        <w:t>Facility Information and Additional Details</w:t>
      </w:r>
      <w:r w:rsidRPr="001703E6">
        <w:rPr>
          <w:rStyle w:val="zGNormalChar"/>
        </w:rPr>
        <w:t>).</w:t>
      </w:r>
    </w:p>
    <w:p w:rsidRPr="001703E6" w:rsidR="005638B9" w:rsidP="00B71D5E" w:rsidRDefault="005638B9" w14:paraId="6F70602F" w14:textId="77777777">
      <w:pPr>
        <w:pStyle w:val="zGNormalDefinition"/>
        <w:spacing w:before="120" w:after="120"/>
        <w:rPr>
          <w:spacing w:val="0"/>
          <w:sz w:val="20"/>
        </w:rPr>
      </w:pPr>
      <w:bookmarkStart w:name="_Hlk144224389" w:id="9"/>
      <w:r w:rsidRPr="001703E6">
        <w:rPr>
          <w:b/>
          <w:bCs/>
          <w:spacing w:val="0"/>
          <w:sz w:val="20"/>
          <w:u w:val="single"/>
        </w:rPr>
        <w:t>Hazardous Activity</w:t>
      </w:r>
      <w:r w:rsidRPr="001703E6">
        <w:rPr>
          <w:b/>
          <w:bCs/>
          <w:spacing w:val="0"/>
          <w:sz w:val="20"/>
        </w:rPr>
        <w:t>:</w:t>
      </w:r>
      <w:r w:rsidRPr="001703E6">
        <w:rPr>
          <w:spacing w:val="0"/>
          <w:sz w:val="20"/>
        </w:rPr>
        <w:t xml:space="preserve"> </w:t>
      </w:r>
      <w:r w:rsidRPr="001703E6">
        <w:rPr>
          <w:rStyle w:val="zGNormalChar"/>
        </w:rPr>
        <w:t>The distribution, generation, handling, importing, management, manufacturing, processing, production, refinement, Release, storage, transfer, transportation, treatment, or use of a Hazardous Substance, or any other act, business, operation, or activity that increases the danger, or poses a risk of harm, to the environment.</w:t>
      </w:r>
    </w:p>
    <w:bookmarkEnd w:id="9"/>
    <w:p w:rsidRPr="001703E6" w:rsidR="0029492C" w:rsidP="00B71D5E" w:rsidRDefault="0029492C" w14:paraId="4526E369" w14:textId="1BADC42C">
      <w:pPr>
        <w:pStyle w:val="zGNormalDefinition"/>
        <w:spacing w:before="120" w:after="120"/>
        <w:rPr>
          <w:spacing w:val="0"/>
          <w:sz w:val="20"/>
        </w:rPr>
      </w:pPr>
      <w:r w:rsidRPr="001703E6">
        <w:rPr>
          <w:b/>
          <w:bCs/>
          <w:spacing w:val="0"/>
          <w:sz w:val="20"/>
          <w:u w:val="single"/>
        </w:rPr>
        <w:t>Hazardous Substance</w:t>
      </w:r>
      <w:r w:rsidRPr="001703E6">
        <w:rPr>
          <w:b/>
          <w:bCs/>
          <w:spacing w:val="0"/>
          <w:sz w:val="20"/>
        </w:rPr>
        <w:t>:</w:t>
      </w:r>
      <w:r w:rsidRPr="001703E6">
        <w:rPr>
          <w:spacing w:val="0"/>
          <w:sz w:val="20"/>
        </w:rPr>
        <w:t xml:space="preserve"> </w:t>
      </w:r>
      <w:r w:rsidRPr="001703E6">
        <w:rPr>
          <w:rStyle w:val="zGNormalChar"/>
        </w:rPr>
        <w:t>Any substance or material listed, defined, or classified as a pollutant, contaminant, hazardous substance, hazardous material, toxic substance, toxic pollutant, hazardous waste, or words of similar import under any Environmental Law, including petroleum, petroleum products, polychlorinated biphenyls, flammable materials, explosives, radioactive materials, urea formaldehyde foam insulation, and friable asbestos.</w:t>
      </w:r>
      <w:r w:rsidRPr="001703E6">
        <w:rPr>
          <w:spacing w:val="0"/>
          <w:sz w:val="20"/>
        </w:rPr>
        <w:t xml:space="preserve"> </w:t>
      </w:r>
    </w:p>
    <w:p w:rsidRPr="001703E6" w:rsidR="0029492C" w:rsidP="00B71D5E" w:rsidRDefault="0029492C" w14:paraId="7FEF0231" w14:textId="77777777">
      <w:pPr>
        <w:pStyle w:val="zGNormalDefinition"/>
        <w:spacing w:before="120" w:after="120"/>
        <w:rPr>
          <w:spacing w:val="0"/>
          <w:sz w:val="20"/>
        </w:rPr>
      </w:pPr>
      <w:r w:rsidRPr="001703E6">
        <w:rPr>
          <w:b/>
          <w:bCs/>
          <w:spacing w:val="0"/>
          <w:sz w:val="20"/>
          <w:u w:val="single"/>
        </w:rPr>
        <w:t>HSR Act</w:t>
      </w:r>
      <w:r w:rsidRPr="001703E6">
        <w:rPr>
          <w:b/>
          <w:bCs/>
          <w:spacing w:val="0"/>
          <w:sz w:val="20"/>
        </w:rPr>
        <w:t>:</w:t>
      </w:r>
      <w:r w:rsidRPr="001703E6">
        <w:rPr>
          <w:spacing w:val="0"/>
          <w:sz w:val="20"/>
        </w:rPr>
        <w:t xml:space="preserve"> </w:t>
      </w:r>
      <w:r w:rsidRPr="001703E6">
        <w:rPr>
          <w:rStyle w:val="zGNormalChar"/>
        </w:rPr>
        <w:t>Hart-Scott-Rodino Antitrust Improvements Act of 1976.</w:t>
      </w:r>
    </w:p>
    <w:p w:rsidRPr="001703E6" w:rsidR="000D55ED" w:rsidP="00B62EAE" w:rsidRDefault="007A30CE" w14:paraId="0F3403D8" w14:textId="1D76538F">
      <w:pPr>
        <w:pStyle w:val="zGNormalDefinition"/>
        <w:rPr>
          <w:sz w:val="20"/>
        </w:rPr>
      </w:pPr>
      <w:r w:rsidRPr="001703E6">
        <w:rPr>
          <w:b/>
          <w:sz w:val="20"/>
          <w:u w:val="single"/>
        </w:rPr>
        <w:t>HSR Approval</w:t>
      </w:r>
      <w:r w:rsidRPr="001703E6">
        <w:rPr>
          <w:b/>
          <w:sz w:val="20"/>
        </w:rPr>
        <w:t>:</w:t>
      </w:r>
      <w:r w:rsidRPr="001703E6">
        <w:rPr>
          <w:sz w:val="20"/>
        </w:rPr>
        <w:t xml:space="preserve"> </w:t>
      </w:r>
      <w:r w:rsidRPr="001703E6">
        <w:rPr>
          <w:rStyle w:val="zGNormalChar"/>
        </w:rPr>
        <w:t>The expiration or termination of any applicable waiting period (and any extension of th</w:t>
      </w:r>
      <w:r w:rsidRPr="001703E6" w:rsidR="00DC11F9">
        <w:rPr>
          <w:rStyle w:val="zGNormalChar"/>
        </w:rPr>
        <w:t>at</w:t>
      </w:r>
      <w:r w:rsidRPr="001703E6">
        <w:rPr>
          <w:rStyle w:val="zGNormalChar"/>
        </w:rPr>
        <w:t xml:space="preserve"> waiting period) under the HSR Act regarding the transactions contemplated by this APA.</w:t>
      </w:r>
    </w:p>
    <w:p w:rsidRPr="001703E6" w:rsidR="0029492C" w:rsidP="00B71D5E" w:rsidRDefault="0029492C" w14:paraId="59843AA0" w14:textId="77777777">
      <w:pPr>
        <w:pStyle w:val="zGNormalDefinition"/>
        <w:spacing w:before="120" w:after="120"/>
        <w:rPr>
          <w:spacing w:val="0"/>
          <w:sz w:val="20"/>
        </w:rPr>
      </w:pPr>
      <w:r w:rsidRPr="001703E6">
        <w:rPr>
          <w:b/>
          <w:bCs/>
          <w:spacing w:val="0"/>
          <w:sz w:val="20"/>
          <w:u w:val="single"/>
        </w:rPr>
        <w:t>Improvements</w:t>
      </w:r>
      <w:r w:rsidRPr="001703E6">
        <w:rPr>
          <w:b/>
          <w:bCs/>
          <w:spacing w:val="0"/>
          <w:sz w:val="20"/>
        </w:rPr>
        <w:t>:</w:t>
      </w:r>
      <w:r w:rsidRPr="001703E6">
        <w:rPr>
          <w:spacing w:val="0"/>
          <w:sz w:val="20"/>
        </w:rPr>
        <w:t xml:space="preserve"> </w:t>
      </w:r>
      <w:r w:rsidRPr="001703E6">
        <w:rPr>
          <w:rStyle w:val="zGNormalChar"/>
        </w:rPr>
        <w:t>Regarding any Facility Real Property, all buildings, structures, improvements, fixtures, component parts, and other constructions on the property, including all construction works in progress, all of which are listed in Section 3.14.1(ii) of the Seller Disclosure Schedule.</w:t>
      </w:r>
      <w:r w:rsidRPr="001703E6">
        <w:rPr>
          <w:spacing w:val="0"/>
          <w:sz w:val="20"/>
        </w:rPr>
        <w:t xml:space="preserve"> </w:t>
      </w:r>
    </w:p>
    <w:p w:rsidRPr="001703E6" w:rsidR="00D65641" w:rsidP="000D7666" w:rsidRDefault="0029492C" w14:paraId="40C9FF11" w14:textId="77777777">
      <w:pPr>
        <w:pStyle w:val="zGNormalDefinition"/>
        <w:widowControl/>
        <w:spacing w:before="120" w:after="120"/>
        <w:rPr>
          <w:spacing w:val="0"/>
          <w:sz w:val="20"/>
        </w:rPr>
      </w:pPr>
      <w:r w:rsidRPr="001703E6">
        <w:rPr>
          <w:b/>
          <w:bCs/>
          <w:spacing w:val="0"/>
          <w:sz w:val="20"/>
          <w:u w:val="single"/>
        </w:rPr>
        <w:t>Indebtedness</w:t>
      </w:r>
      <w:r w:rsidRPr="001703E6">
        <w:rPr>
          <w:b/>
          <w:bCs/>
          <w:spacing w:val="0"/>
          <w:sz w:val="20"/>
        </w:rPr>
        <w:t>:</w:t>
      </w:r>
      <w:r w:rsidRPr="001703E6">
        <w:rPr>
          <w:spacing w:val="0"/>
          <w:sz w:val="20"/>
        </w:rPr>
        <w:t xml:space="preserve"> </w:t>
      </w:r>
      <w:r w:rsidRPr="001703E6">
        <w:rPr>
          <w:rStyle w:val="zGNormalChar"/>
        </w:rPr>
        <w:t>For any Person, each of the following, without duplication: (i) obligations of the Person for borrowed money evidenced by bonds, debentures, notes, loan agreements or other similar instruments; (ii) purchase money indebtedness of the Person constituting an obligation to pay the deferred purchase price of property or services, other than trade payables incurred in the ordinary course of business and reflected as a liability in Closing Date Working Capital; (iii) lease obligations of the Person that are capitalized on the balance sheet of the Person in accordance with generally accepted accounting principles; (iv) liabilities of a second Person secured by any lien on any property of such first Person, whether or not the liabilities have been assumed by such first Person; (v) liabilities of the Person regarding letters of credit or applications or reimbursement agreements for the liabilities; (vi) net obligations of the Person under any swap or hedging agreement; and (vii) indebtedness of the Person owing under direct or indirect guarantees of indebtedness of any other Person or constituting obligations to purchase or acquire or to otherwise protect or insure a creditor against loss regarding indebtedness of any other Person, excluding endorsements of negotiable instruments for deposit or collection in the ordinary course of business.</w:t>
      </w:r>
      <w:r w:rsidRPr="001703E6">
        <w:rPr>
          <w:spacing w:val="0"/>
          <w:sz w:val="20"/>
        </w:rPr>
        <w:t xml:space="preserve"> </w:t>
      </w:r>
    </w:p>
    <w:p w:rsidRPr="001703E6" w:rsidR="00D65641" w:rsidP="00B71D5E" w:rsidRDefault="00D65641" w14:paraId="204AFB15" w14:textId="77777777">
      <w:pPr>
        <w:pStyle w:val="zGNormalDefinition"/>
        <w:spacing w:before="120" w:after="120"/>
        <w:rPr>
          <w:spacing w:val="0"/>
          <w:sz w:val="20"/>
        </w:rPr>
      </w:pPr>
      <w:r w:rsidRPr="001703E6">
        <w:rPr>
          <w:b/>
          <w:bCs/>
          <w:sz w:val="20"/>
          <w:u w:val="single"/>
        </w:rPr>
        <w:t>Indemnification Claim</w:t>
      </w:r>
      <w:r w:rsidRPr="001703E6">
        <w:rPr>
          <w:b/>
          <w:bCs/>
          <w:sz w:val="20"/>
        </w:rPr>
        <w:t>:</w:t>
      </w:r>
      <w:r w:rsidRPr="001703E6">
        <w:rPr>
          <w:sz w:val="20"/>
        </w:rPr>
        <w:t xml:space="preserve"> </w:t>
      </w:r>
      <w:r w:rsidRPr="001703E6">
        <w:rPr>
          <w:rStyle w:val="zGNormalChar"/>
        </w:rPr>
        <w:t>As defined in Section 8.5 (</w:t>
      </w:r>
      <w:r w:rsidRPr="001703E6">
        <w:rPr>
          <w:rStyle w:val="zGNormalChar"/>
          <w:i/>
          <w:iCs/>
        </w:rPr>
        <w:t>Notice of Proceeding</w:t>
      </w:r>
      <w:r w:rsidRPr="001703E6">
        <w:rPr>
          <w:rStyle w:val="zGNormalChar"/>
        </w:rPr>
        <w:t>).</w:t>
      </w:r>
    </w:p>
    <w:p w:rsidRPr="001703E6" w:rsidR="00D65641" w:rsidP="00B71D5E" w:rsidRDefault="0029492C" w14:paraId="778F082D" w14:textId="77777777">
      <w:pPr>
        <w:pStyle w:val="zGNormalDefinition"/>
        <w:spacing w:before="120" w:after="120"/>
        <w:rPr>
          <w:spacing w:val="0"/>
          <w:sz w:val="20"/>
        </w:rPr>
      </w:pPr>
      <w:r w:rsidRPr="001703E6">
        <w:rPr>
          <w:b/>
          <w:bCs/>
          <w:spacing w:val="0"/>
          <w:sz w:val="20"/>
          <w:u w:val="single"/>
        </w:rPr>
        <w:t>Indemnified GPC Party</w:t>
      </w:r>
      <w:r w:rsidRPr="001703E6">
        <w:rPr>
          <w:b/>
          <w:bCs/>
          <w:spacing w:val="0"/>
          <w:sz w:val="20"/>
        </w:rPr>
        <w:t>:</w:t>
      </w:r>
      <w:r w:rsidRPr="001703E6">
        <w:rPr>
          <w:spacing w:val="0"/>
          <w:sz w:val="20"/>
        </w:rPr>
        <w:t xml:space="preserve"> </w:t>
      </w:r>
      <w:r w:rsidRPr="001703E6">
        <w:rPr>
          <w:rStyle w:val="zGNormalChar"/>
        </w:rPr>
        <w:t>As defined in Section 8.3 (</w:t>
      </w:r>
      <w:r w:rsidRPr="001703E6">
        <w:rPr>
          <w:rStyle w:val="zGNormalChar"/>
          <w:i/>
          <w:iCs/>
        </w:rPr>
        <w:t>Indemnification by Seller</w:t>
      </w:r>
      <w:r w:rsidRPr="001703E6">
        <w:rPr>
          <w:rStyle w:val="zGNormalChar"/>
        </w:rPr>
        <w:t>).</w:t>
      </w:r>
    </w:p>
    <w:p w:rsidRPr="001703E6" w:rsidR="009558F1" w:rsidP="00B71D5E" w:rsidRDefault="009558F1" w14:paraId="4539A55A" w14:textId="22875887">
      <w:pPr>
        <w:pStyle w:val="zGNormalDefinition"/>
        <w:spacing w:before="120" w:after="120"/>
        <w:rPr>
          <w:spacing w:val="0"/>
          <w:sz w:val="20"/>
        </w:rPr>
      </w:pPr>
      <w:r w:rsidRPr="001703E6">
        <w:rPr>
          <w:b/>
          <w:sz w:val="20"/>
          <w:u w:val="single"/>
        </w:rPr>
        <w:t>Independent Accountant</w:t>
      </w:r>
      <w:r w:rsidRPr="001703E6">
        <w:rPr>
          <w:b/>
          <w:sz w:val="20"/>
        </w:rPr>
        <w:t>:</w:t>
      </w:r>
      <w:r w:rsidRPr="001703E6">
        <w:rPr>
          <w:sz w:val="20"/>
        </w:rPr>
        <w:t xml:space="preserve"> </w:t>
      </w:r>
      <w:r w:rsidRPr="001703E6">
        <w:rPr>
          <w:rStyle w:val="zGNormalChar"/>
        </w:rPr>
        <w:t>An independent accounting firm of national reputation that is selected by mutual agreement of Seller and GPC or, if Seller and GPC do not reach mutual agreement on the independent accounting firm to be selected within five days after either Party first receives notice from the other Party requesting such mutual agreement in connection with a requirement for such Independent Accountant under this APA, then the independent accounting firm must be selected by the American Arbitration Association pursuant to the then effective and applicable rules of the American Arbitration Association (with Seller and GPC sharing equally the cost of such selection process).</w:t>
      </w:r>
    </w:p>
    <w:p w:rsidRPr="001703E6" w:rsidR="00516612" w:rsidP="00B71D5E" w:rsidRDefault="00516612" w14:paraId="4F89430A" w14:textId="77777777">
      <w:pPr>
        <w:pStyle w:val="zGNormalDefinition"/>
        <w:spacing w:before="120" w:after="120"/>
        <w:rPr>
          <w:spacing w:val="0"/>
          <w:sz w:val="20"/>
        </w:rPr>
      </w:pPr>
      <w:r w:rsidRPr="001703E6">
        <w:rPr>
          <w:b/>
          <w:bCs/>
          <w:spacing w:val="0"/>
          <w:sz w:val="20"/>
          <w:u w:val="single"/>
        </w:rPr>
        <w:t>Insolvency</w:t>
      </w:r>
      <w:r w:rsidRPr="001703E6">
        <w:rPr>
          <w:b/>
          <w:spacing w:val="0"/>
          <w:sz w:val="20"/>
        </w:rPr>
        <w:t>:</w:t>
      </w:r>
      <w:r w:rsidRPr="001703E6">
        <w:rPr>
          <w:spacing w:val="0"/>
          <w:sz w:val="20"/>
        </w:rPr>
        <w:t xml:space="preserve"> </w:t>
      </w:r>
      <w:r w:rsidRPr="001703E6">
        <w:rPr>
          <w:rStyle w:val="zGNormalChar"/>
        </w:rPr>
        <w:t xml:space="preserve">With respect to a Person, that the Person: (i) commences a voluntary case under the Bankruptcy Code; (ii) files a petition seeking to take advantage of any Bankruptcy Laws; (iii) consents to or fails to contest in a timely and appropriate manner any petition filed against it in an insolvency case under the Bankruptcy Laws; (iv) applies for, or </w:t>
      </w:r>
      <w:r w:rsidRPr="001703E6">
        <w:rPr>
          <w:rStyle w:val="zGNormalChar"/>
        </w:rPr>
        <w:lastRenderedPageBreak/>
        <w:t>consents to, or fails to contest in a timely and appropriate manner, the appointment of, or the taking of possession by, a receiver, custodian, trustee, liquidator, or the like of itself or of a substantial part of its assets; (v) becomes insolvent, admits in writing its inability to pay, or generally not be paying, its debts (other than those that are the subject of bona fide disputes) as they become due; (vi) makes a general assignment for the benefit of creditors; (vii) takes any action for the purpose of effecting any of the foregoing; or (viii) has a case or other proceeding commenced by a third party against it seeking: (a) relief under any Bankruptcy Laws; or (b) the appointment of a trustee, receiver, custodian, liquidator, or the like of the Person of all or any substantial part of its assets, and the case or proceeding continues undismissed or unstayed for a period of 60 days.</w:t>
      </w:r>
    </w:p>
    <w:p w:rsidRPr="001703E6" w:rsidR="0029492C" w:rsidP="00B71D5E" w:rsidRDefault="0029492C" w14:paraId="5FDDAC33" w14:textId="77777777">
      <w:pPr>
        <w:pStyle w:val="zGNormalDefinition"/>
        <w:spacing w:before="120" w:after="120"/>
        <w:rPr>
          <w:rStyle w:val="zGNormalChar"/>
        </w:rPr>
      </w:pPr>
      <w:r w:rsidRPr="001703E6">
        <w:rPr>
          <w:b/>
          <w:bCs/>
          <w:spacing w:val="0"/>
          <w:sz w:val="20"/>
          <w:u w:val="single"/>
        </w:rPr>
        <w:t>Intellectual Property</w:t>
      </w:r>
      <w:r w:rsidRPr="001703E6">
        <w:rPr>
          <w:b/>
          <w:spacing w:val="0"/>
          <w:sz w:val="20"/>
        </w:rPr>
        <w:t>:</w:t>
      </w:r>
      <w:r w:rsidRPr="001703E6">
        <w:rPr>
          <w:spacing w:val="0"/>
          <w:sz w:val="20"/>
        </w:rPr>
        <w:t xml:space="preserve"> </w:t>
      </w:r>
      <w:r w:rsidRPr="001703E6">
        <w:rPr>
          <w:rStyle w:val="zGNormalChar"/>
        </w:rPr>
        <w:t xml:space="preserve">Trademarks, trade names, patents, </w:t>
      </w:r>
      <w:proofErr w:type="gramStart"/>
      <w:r w:rsidRPr="001703E6">
        <w:rPr>
          <w:rStyle w:val="zGNormalChar"/>
        </w:rPr>
        <w:t>service marks, brand</w:t>
      </w:r>
      <w:proofErr w:type="gramEnd"/>
      <w:r w:rsidRPr="001703E6">
        <w:rPr>
          <w:rStyle w:val="zGNormalChar"/>
        </w:rPr>
        <w:t xml:space="preserve"> marks, brand names, computer programs, databases, trade secrets, know-how, industrial designs, copyrights, and other similar intellectual property rights.</w:t>
      </w:r>
    </w:p>
    <w:p w:rsidRPr="001703E6" w:rsidR="004C4241" w:rsidP="00B62EAE" w:rsidRDefault="004C4241" w14:paraId="56240B00" w14:textId="77777777">
      <w:pPr>
        <w:pStyle w:val="zGNormalDefinition"/>
        <w:rPr>
          <w:sz w:val="20"/>
        </w:rPr>
      </w:pPr>
      <w:r w:rsidRPr="001703E6">
        <w:rPr>
          <w:b/>
          <w:sz w:val="20"/>
          <w:u w:val="single"/>
        </w:rPr>
        <w:t>Interconnection Agreement</w:t>
      </w:r>
      <w:r w:rsidRPr="001703E6">
        <w:rPr>
          <w:b/>
          <w:sz w:val="20"/>
        </w:rPr>
        <w:t>:</w:t>
      </w:r>
      <w:r w:rsidRPr="001703E6">
        <w:rPr>
          <w:sz w:val="20"/>
        </w:rPr>
        <w:t xml:space="preserve"> </w:t>
      </w:r>
      <w:r w:rsidRPr="001703E6">
        <w:rPr>
          <w:rStyle w:val="zGNormalChar"/>
        </w:rPr>
        <w:t>The agreement between Seller and the applicable Interconnection Provider containing terms and conditions governing the interconnection and parallel operation of the Facility with the Electric System.</w:t>
      </w:r>
      <w:r w:rsidRPr="001703E6">
        <w:rPr>
          <w:sz w:val="20"/>
        </w:rPr>
        <w:t xml:space="preserve"> </w:t>
      </w:r>
    </w:p>
    <w:p w:rsidRPr="001703E6" w:rsidR="004C4241" w:rsidP="00B62EAE" w:rsidRDefault="004C4241" w14:paraId="3FC6DD1C" w14:textId="77777777">
      <w:pPr>
        <w:pStyle w:val="zGNormalDefinition"/>
        <w:rPr>
          <w:sz w:val="20"/>
        </w:rPr>
      </w:pPr>
      <w:r w:rsidRPr="001703E6">
        <w:rPr>
          <w:b/>
          <w:sz w:val="20"/>
          <w:u w:val="single"/>
        </w:rPr>
        <w:t>Interconnection Provider</w:t>
      </w:r>
      <w:r w:rsidRPr="001703E6">
        <w:rPr>
          <w:b/>
          <w:bCs/>
          <w:sz w:val="20"/>
        </w:rPr>
        <w:t>:</w:t>
      </w:r>
      <w:r w:rsidRPr="001703E6">
        <w:rPr>
          <w:sz w:val="20"/>
        </w:rPr>
        <w:t xml:space="preserve"> </w:t>
      </w:r>
      <w:r w:rsidRPr="001703E6">
        <w:rPr>
          <w:rStyle w:val="zGNormalChar"/>
        </w:rPr>
        <w:t>The owner or operator of the Electric System responsible for providing transmission interconnection service to the Facility.</w:t>
      </w:r>
      <w:r w:rsidRPr="001703E6">
        <w:rPr>
          <w:sz w:val="20"/>
        </w:rPr>
        <w:t xml:space="preserve"> </w:t>
      </w:r>
    </w:p>
    <w:p w:rsidRPr="001703E6" w:rsidR="0029492C" w:rsidP="00B71D5E" w:rsidRDefault="0029492C" w14:paraId="4B1D5A68" w14:textId="77777777">
      <w:pPr>
        <w:pStyle w:val="zGNormalDefinition"/>
        <w:spacing w:before="120" w:after="120"/>
        <w:rPr>
          <w:spacing w:val="0"/>
          <w:sz w:val="20"/>
        </w:rPr>
      </w:pPr>
      <w:r w:rsidRPr="001703E6">
        <w:rPr>
          <w:b/>
          <w:bCs/>
          <w:spacing w:val="0"/>
          <w:sz w:val="20"/>
          <w:u w:val="single"/>
        </w:rPr>
        <w:t>Interim Balance Sheet</w:t>
      </w:r>
      <w:r w:rsidRPr="001703E6">
        <w:rPr>
          <w:b/>
          <w:bCs/>
          <w:spacing w:val="0"/>
          <w:sz w:val="20"/>
        </w:rPr>
        <w:t>:</w:t>
      </w:r>
      <w:r w:rsidRPr="001703E6">
        <w:rPr>
          <w:spacing w:val="0"/>
          <w:sz w:val="20"/>
        </w:rPr>
        <w:t xml:space="preserve"> </w:t>
      </w:r>
      <w:r w:rsidRPr="001703E6">
        <w:rPr>
          <w:rStyle w:val="zGNormalChar"/>
        </w:rPr>
        <w:t>As defined in Section 3.16.1 (</w:t>
      </w:r>
      <w:r w:rsidRPr="001703E6">
        <w:rPr>
          <w:rStyle w:val="zGNormalChar"/>
          <w:i/>
          <w:iCs/>
        </w:rPr>
        <w:t>Seller Financial Statements</w:t>
      </w:r>
      <w:r w:rsidRPr="001703E6">
        <w:rPr>
          <w:rStyle w:val="zGNormalChar"/>
        </w:rPr>
        <w:t>).</w:t>
      </w:r>
    </w:p>
    <w:p w:rsidRPr="001703E6" w:rsidR="0029492C" w:rsidP="00B71D5E" w:rsidRDefault="0029492C" w14:paraId="40221C73" w14:textId="77777777">
      <w:pPr>
        <w:pStyle w:val="zGNormalDefinition"/>
        <w:spacing w:before="120" w:after="120"/>
        <w:rPr>
          <w:spacing w:val="0"/>
          <w:sz w:val="20"/>
        </w:rPr>
      </w:pPr>
      <w:r w:rsidRPr="001703E6">
        <w:rPr>
          <w:b/>
          <w:bCs/>
          <w:spacing w:val="0"/>
          <w:sz w:val="20"/>
          <w:u w:val="single"/>
        </w:rPr>
        <w:t>Interim Balance Sheet Date</w:t>
      </w:r>
      <w:r w:rsidRPr="001703E6">
        <w:rPr>
          <w:b/>
          <w:bCs/>
          <w:spacing w:val="0"/>
          <w:sz w:val="20"/>
        </w:rPr>
        <w:t>:</w:t>
      </w:r>
      <w:r w:rsidRPr="001703E6">
        <w:rPr>
          <w:spacing w:val="0"/>
          <w:sz w:val="20"/>
        </w:rPr>
        <w:t xml:space="preserve"> </w:t>
      </w:r>
      <w:r w:rsidRPr="001703E6">
        <w:rPr>
          <w:rStyle w:val="zGNormalChar"/>
        </w:rPr>
        <w:t>The Interim Balance Sheet date specified in Exhibit A-1 (</w:t>
      </w:r>
      <w:r w:rsidRPr="001703E6">
        <w:rPr>
          <w:rStyle w:val="zGNormalChar"/>
          <w:i/>
          <w:iCs/>
        </w:rPr>
        <w:t>Facility Information and Additional Details</w:t>
      </w:r>
      <w:r w:rsidRPr="001703E6">
        <w:rPr>
          <w:rStyle w:val="zGNormalChar"/>
        </w:rPr>
        <w:t>).</w:t>
      </w:r>
    </w:p>
    <w:p w:rsidRPr="001703E6" w:rsidR="0029492C" w:rsidP="00B71D5E" w:rsidRDefault="0029492C" w14:paraId="77AA4B5B" w14:textId="6CC1AF43">
      <w:pPr>
        <w:pStyle w:val="zGNormalDefinition"/>
        <w:spacing w:before="120" w:after="120"/>
        <w:rPr>
          <w:spacing w:val="0"/>
          <w:sz w:val="20"/>
        </w:rPr>
      </w:pPr>
      <w:r w:rsidRPr="001703E6">
        <w:rPr>
          <w:b/>
          <w:bCs/>
          <w:spacing w:val="0"/>
          <w:sz w:val="20"/>
          <w:u w:val="single"/>
        </w:rPr>
        <w:t>Interim Period</w:t>
      </w:r>
      <w:r w:rsidRPr="001703E6">
        <w:rPr>
          <w:b/>
          <w:bCs/>
          <w:spacing w:val="0"/>
          <w:sz w:val="20"/>
        </w:rPr>
        <w:t>:</w:t>
      </w:r>
      <w:r w:rsidRPr="001703E6">
        <w:rPr>
          <w:spacing w:val="0"/>
          <w:sz w:val="20"/>
        </w:rPr>
        <w:t xml:space="preserve"> </w:t>
      </w:r>
      <w:r w:rsidRPr="001703E6">
        <w:rPr>
          <w:rStyle w:val="zGNormalChar"/>
        </w:rPr>
        <w:t xml:space="preserve">The period beginning on the </w:t>
      </w:r>
      <w:r w:rsidRPr="001703E6" w:rsidR="0002052C">
        <w:rPr>
          <w:rStyle w:val="zGNormalChar"/>
        </w:rPr>
        <w:t>Effective Date</w:t>
      </w:r>
      <w:r w:rsidRPr="001703E6">
        <w:rPr>
          <w:rStyle w:val="zGNormalChar"/>
        </w:rPr>
        <w:t xml:space="preserve"> and ending at the Closing.</w:t>
      </w:r>
    </w:p>
    <w:p w:rsidRPr="001703E6" w:rsidR="00386BCF" w:rsidP="00B71D5E" w:rsidRDefault="00386BCF" w14:paraId="5B19CB42" w14:textId="77777777">
      <w:pPr>
        <w:pStyle w:val="zGNormalDefinition"/>
        <w:widowControl/>
        <w:spacing w:before="120" w:after="120"/>
        <w:rPr>
          <w:spacing w:val="0"/>
          <w:sz w:val="20"/>
        </w:rPr>
      </w:pPr>
      <w:r w:rsidRPr="001703E6">
        <w:rPr>
          <w:b/>
          <w:bCs/>
          <w:spacing w:val="0"/>
          <w:sz w:val="20"/>
          <w:u w:val="single"/>
        </w:rPr>
        <w:t>IRS</w:t>
      </w:r>
      <w:r w:rsidRPr="001703E6">
        <w:rPr>
          <w:b/>
          <w:bCs/>
          <w:spacing w:val="0"/>
          <w:sz w:val="20"/>
        </w:rPr>
        <w:t>:</w:t>
      </w:r>
      <w:r w:rsidRPr="001703E6">
        <w:rPr>
          <w:spacing w:val="0"/>
          <w:sz w:val="20"/>
        </w:rPr>
        <w:t xml:space="preserve"> </w:t>
      </w:r>
      <w:r w:rsidRPr="001703E6">
        <w:rPr>
          <w:rStyle w:val="zGNormalChar"/>
        </w:rPr>
        <w:t xml:space="preserve">The Internal Revenue Service or any Governmental Authority succeeding </w:t>
      </w:r>
      <w:proofErr w:type="gramStart"/>
      <w:r w:rsidRPr="001703E6">
        <w:rPr>
          <w:rStyle w:val="zGNormalChar"/>
        </w:rPr>
        <w:t>to</w:t>
      </w:r>
      <w:proofErr w:type="gramEnd"/>
      <w:r w:rsidRPr="001703E6">
        <w:rPr>
          <w:rStyle w:val="zGNormalChar"/>
        </w:rPr>
        <w:t xml:space="preserve"> the powers and functions of the IRS.</w:t>
      </w:r>
    </w:p>
    <w:p w:rsidRPr="001703E6" w:rsidR="00516612" w:rsidP="00B71D5E" w:rsidRDefault="00516612" w14:paraId="07977DB8" w14:textId="77777777">
      <w:pPr>
        <w:pStyle w:val="zGNormalDefinition"/>
        <w:widowControl/>
        <w:spacing w:before="120" w:after="120"/>
        <w:rPr>
          <w:rStyle w:val="zGNormalChar"/>
        </w:rPr>
      </w:pPr>
      <w:r w:rsidRPr="001703E6">
        <w:rPr>
          <w:b/>
          <w:bCs/>
          <w:spacing w:val="0"/>
          <w:sz w:val="20"/>
          <w:u w:val="single"/>
        </w:rPr>
        <w:t>ITC</w:t>
      </w:r>
      <w:r w:rsidRPr="001703E6">
        <w:rPr>
          <w:b/>
          <w:bCs/>
          <w:spacing w:val="0"/>
          <w:sz w:val="20"/>
        </w:rPr>
        <w:t>:</w:t>
      </w:r>
      <w:r w:rsidRPr="001703E6">
        <w:rPr>
          <w:spacing w:val="0"/>
          <w:sz w:val="20"/>
        </w:rPr>
        <w:t xml:space="preserve"> </w:t>
      </w:r>
      <w:r w:rsidRPr="001703E6">
        <w:rPr>
          <w:rStyle w:val="zGNormalChar"/>
        </w:rPr>
        <w:t>The investment tax credit under Sections 48 and 48E of the Code.</w:t>
      </w:r>
    </w:p>
    <w:p w:rsidRPr="001703E6" w:rsidR="0029492C" w:rsidP="00B71D5E" w:rsidRDefault="0029492C" w14:paraId="59BEAE0B" w14:textId="77777777">
      <w:pPr>
        <w:pStyle w:val="zGNormalDefinition"/>
        <w:spacing w:before="120" w:after="120"/>
        <w:rPr>
          <w:spacing w:val="0"/>
          <w:sz w:val="20"/>
        </w:rPr>
      </w:pPr>
      <w:r w:rsidRPr="001703E6">
        <w:rPr>
          <w:b/>
          <w:bCs/>
          <w:spacing w:val="0"/>
          <w:sz w:val="20"/>
          <w:u w:val="single"/>
        </w:rPr>
        <w:t>Knowledge</w:t>
      </w:r>
      <w:r w:rsidRPr="001703E6">
        <w:rPr>
          <w:b/>
          <w:bCs/>
          <w:spacing w:val="0"/>
          <w:sz w:val="20"/>
        </w:rPr>
        <w:t>:</w:t>
      </w:r>
      <w:r w:rsidRPr="001703E6">
        <w:rPr>
          <w:spacing w:val="0"/>
          <w:sz w:val="20"/>
        </w:rPr>
        <w:t xml:space="preserve"> </w:t>
      </w:r>
      <w:r w:rsidRPr="001703E6">
        <w:rPr>
          <w:rStyle w:val="zGNormalChar"/>
        </w:rPr>
        <w:t>With respect to a Party, the actual knowledge after reasonable due inquiry by the applicable Person(s) listed in Exhibit A-1 (</w:t>
      </w:r>
      <w:r w:rsidRPr="001703E6">
        <w:rPr>
          <w:rStyle w:val="zGNormalChar"/>
          <w:i/>
          <w:iCs/>
        </w:rPr>
        <w:t>Facility Information and Additional Details</w:t>
      </w:r>
      <w:r w:rsidRPr="001703E6">
        <w:rPr>
          <w:rStyle w:val="zGNormalChar"/>
        </w:rPr>
        <w:t>).</w:t>
      </w:r>
    </w:p>
    <w:p w:rsidRPr="001703E6" w:rsidR="00C21BC3" w:rsidP="00B71D5E" w:rsidRDefault="00C21BC3" w14:paraId="0327D0AA" w14:textId="475441D9">
      <w:pPr>
        <w:pStyle w:val="zGNormalDefinition"/>
        <w:spacing w:before="120" w:after="120"/>
        <w:rPr>
          <w:spacing w:val="0"/>
          <w:sz w:val="20"/>
        </w:rPr>
      </w:pPr>
      <w:r w:rsidRPr="001703E6">
        <w:rPr>
          <w:b/>
          <w:bCs/>
          <w:spacing w:val="0"/>
          <w:sz w:val="20"/>
          <w:u w:val="single"/>
        </w:rPr>
        <w:t>Letter of Credit</w:t>
      </w:r>
      <w:r w:rsidRPr="001703E6">
        <w:rPr>
          <w:b/>
          <w:bCs/>
          <w:spacing w:val="0"/>
          <w:sz w:val="20"/>
        </w:rPr>
        <w:t>:</w:t>
      </w:r>
      <w:r w:rsidRPr="001703E6">
        <w:rPr>
          <w:spacing w:val="0"/>
          <w:sz w:val="20"/>
        </w:rPr>
        <w:t xml:space="preserve"> </w:t>
      </w:r>
      <w:r w:rsidRPr="001703E6">
        <w:rPr>
          <w:rStyle w:val="zGNormalChar"/>
        </w:rPr>
        <w:t>An irrevocable standby letter of credit that</w:t>
      </w:r>
      <w:r w:rsidR="00C0163A">
        <w:rPr>
          <w:rStyle w:val="zGNormalChar"/>
        </w:rPr>
        <w:t xml:space="preserve"> is</w:t>
      </w:r>
      <w:r w:rsidRPr="001703E6">
        <w:rPr>
          <w:rStyle w:val="zGNormalChar"/>
        </w:rPr>
        <w:t>: (</w:t>
      </w:r>
      <w:proofErr w:type="spellStart"/>
      <w:r w:rsidRPr="001703E6">
        <w:rPr>
          <w:rStyle w:val="zGNormalChar"/>
        </w:rPr>
        <w:t>i</w:t>
      </w:r>
      <w:proofErr w:type="spellEnd"/>
      <w:r w:rsidRPr="001703E6">
        <w:rPr>
          <w:rStyle w:val="zGNormalChar"/>
        </w:rPr>
        <w:t>) substantially in the form set forth in Exhibit B (</w:t>
      </w:r>
      <w:r w:rsidRPr="001703E6">
        <w:rPr>
          <w:rStyle w:val="zGNormalChar"/>
          <w:i/>
          <w:iCs/>
        </w:rPr>
        <w:t>Form of Standby Letter of Credit</w:t>
      </w:r>
      <w:r w:rsidRPr="001703E6">
        <w:rPr>
          <w:rStyle w:val="zGNormalChar"/>
        </w:rPr>
        <w:t>); (ii) issued by a U.S. commercial bank or a U.S. branch of a foreign bank</w:t>
      </w:r>
      <w:r w:rsidR="00146E71">
        <w:rPr>
          <w:rStyle w:val="zGNormalChar"/>
        </w:rPr>
        <w:t>: (a)</w:t>
      </w:r>
      <w:r w:rsidRPr="001703E6">
        <w:rPr>
          <w:rStyle w:val="zGNormalChar"/>
        </w:rPr>
        <w:t xml:space="preserve"> with total assets of at least 10 billion dollars ($10,000,000,000</w:t>
      </w:r>
      <w:r w:rsidR="00146E71">
        <w:rPr>
          <w:rStyle w:val="zGNormalChar"/>
        </w:rPr>
        <w:t>.00</w:t>
      </w:r>
      <w:r w:rsidRPr="001703E6">
        <w:rPr>
          <w:rStyle w:val="zGNormalChar"/>
        </w:rPr>
        <w:t>)</w:t>
      </w:r>
      <w:r w:rsidR="00146E71">
        <w:rPr>
          <w:rStyle w:val="zGNormalChar"/>
        </w:rPr>
        <w:t xml:space="preserve">; </w:t>
      </w:r>
      <w:r w:rsidRPr="001703E6">
        <w:rPr>
          <w:rStyle w:val="zGNormalChar"/>
        </w:rPr>
        <w:t>and</w:t>
      </w:r>
      <w:r w:rsidR="00146E71">
        <w:rPr>
          <w:rStyle w:val="zGNormalChar"/>
        </w:rPr>
        <w:t xml:space="preserve"> (b)</w:t>
      </w:r>
      <w:r w:rsidRPr="001703E6">
        <w:rPr>
          <w:rStyle w:val="zGNormalChar"/>
        </w:rPr>
        <w:t xml:space="preserve"> having a general long-term senior unsecured debt rating of</w:t>
      </w:r>
      <w:r w:rsidR="00146E71">
        <w:rPr>
          <w:rStyle w:val="zGNormalChar"/>
        </w:rPr>
        <w:t>: (I)</w:t>
      </w:r>
      <w:r w:rsidRPr="001703E6">
        <w:rPr>
          <w:rStyle w:val="zGNormalChar"/>
        </w:rPr>
        <w:t xml:space="preserve"> A minus or higher as rated by S&amp;P</w:t>
      </w:r>
      <w:r w:rsidR="00146E71">
        <w:rPr>
          <w:rStyle w:val="zGNormalChar"/>
        </w:rPr>
        <w:t>; (II)</w:t>
      </w:r>
      <w:r w:rsidRPr="001703E6">
        <w:rPr>
          <w:rStyle w:val="zGNormalChar"/>
        </w:rPr>
        <w:t xml:space="preserve"> A3 or higher as rated by Moody’s</w:t>
      </w:r>
      <w:r w:rsidR="00F93644">
        <w:rPr>
          <w:rStyle w:val="zGNormalChar"/>
        </w:rPr>
        <w:t>;</w:t>
      </w:r>
      <w:r w:rsidRPr="001703E6">
        <w:rPr>
          <w:rStyle w:val="zGNormalChar"/>
        </w:rPr>
        <w:t xml:space="preserve"> or</w:t>
      </w:r>
      <w:r w:rsidR="00F93644">
        <w:rPr>
          <w:rStyle w:val="zGNormalChar"/>
        </w:rPr>
        <w:t xml:space="preserve"> (III) </w:t>
      </w:r>
      <w:r w:rsidRPr="001703E6">
        <w:rPr>
          <w:rStyle w:val="zGNormalChar"/>
        </w:rPr>
        <w:t xml:space="preserve"> A minus or higher as rated by Fitch; and (iii) acceptable to GPC in GPC’s sole</w:t>
      </w:r>
      <w:r w:rsidR="003472AE">
        <w:rPr>
          <w:rStyle w:val="zGNormalChar"/>
        </w:rPr>
        <w:t>, but reasonable,</w:t>
      </w:r>
      <w:r w:rsidRPr="001703E6">
        <w:rPr>
          <w:rStyle w:val="zGNormalChar"/>
        </w:rPr>
        <w:t xml:space="preserve"> discretion.</w:t>
      </w:r>
    </w:p>
    <w:p w:rsidRPr="001703E6" w:rsidR="0029492C" w:rsidP="00B71D5E" w:rsidRDefault="0029492C" w14:paraId="297CB61E" w14:textId="77777777">
      <w:pPr>
        <w:pStyle w:val="zGNormalDefinition"/>
        <w:spacing w:before="120" w:after="120"/>
        <w:rPr>
          <w:spacing w:val="0"/>
          <w:sz w:val="20"/>
        </w:rPr>
      </w:pPr>
      <w:r w:rsidRPr="001703E6">
        <w:rPr>
          <w:b/>
          <w:bCs/>
          <w:spacing w:val="0"/>
          <w:sz w:val="20"/>
          <w:u w:val="single"/>
        </w:rPr>
        <w:t>Liability</w:t>
      </w:r>
      <w:r w:rsidRPr="001703E6">
        <w:rPr>
          <w:b/>
          <w:bCs/>
          <w:spacing w:val="0"/>
          <w:sz w:val="20"/>
        </w:rPr>
        <w:t>:</w:t>
      </w:r>
      <w:r w:rsidRPr="001703E6">
        <w:rPr>
          <w:spacing w:val="0"/>
          <w:sz w:val="20"/>
        </w:rPr>
        <w:t xml:space="preserve"> </w:t>
      </w:r>
      <w:r w:rsidRPr="001703E6">
        <w:rPr>
          <w:rStyle w:val="zGNormalChar"/>
        </w:rPr>
        <w:t>With respect to any Person, any liability, indebtedness or obligation of that Person of any kind, character or description, whether known or unknown, absolute or contingent, accrued or unaccrued, disputed or undisputed, due or to become due.</w:t>
      </w:r>
    </w:p>
    <w:p w:rsidRPr="001703E6" w:rsidR="0029492C" w:rsidP="00B71D5E" w:rsidRDefault="0029492C" w14:paraId="306364C2" w14:textId="77777777">
      <w:pPr>
        <w:pStyle w:val="zGNormalDefinition"/>
        <w:spacing w:before="120" w:after="120"/>
        <w:rPr>
          <w:spacing w:val="0"/>
          <w:sz w:val="20"/>
        </w:rPr>
      </w:pPr>
      <w:r w:rsidRPr="001703E6">
        <w:rPr>
          <w:b/>
          <w:bCs/>
          <w:spacing w:val="0"/>
          <w:sz w:val="20"/>
          <w:u w:val="single"/>
        </w:rPr>
        <w:t>Lien</w:t>
      </w:r>
      <w:r w:rsidRPr="001703E6">
        <w:rPr>
          <w:b/>
          <w:bCs/>
          <w:spacing w:val="0"/>
          <w:sz w:val="20"/>
        </w:rPr>
        <w:t>:</w:t>
      </w:r>
      <w:r w:rsidRPr="001703E6">
        <w:rPr>
          <w:spacing w:val="0"/>
          <w:sz w:val="20"/>
        </w:rPr>
        <w:t xml:space="preserve"> </w:t>
      </w:r>
      <w:r w:rsidRPr="001703E6">
        <w:rPr>
          <w:rStyle w:val="zGNormalChar"/>
        </w:rPr>
        <w:t>Any charge, claim, lien, option, encumbrance, mortgage, deed of trust, pledge, assessment, lease, levy, security interest, equitable interest, easement, restrictive covenant, encroachment, title imperfection, conditional sale or other title retention arrangement, purchase right, right of first refusal, right of first offer, or other restriction on use, transfer, voting, receipt of income, or exercise of any other attribute of ownership.</w:t>
      </w:r>
    </w:p>
    <w:p w:rsidRPr="001703E6" w:rsidR="009B4AFE" w:rsidP="00B62EAE" w:rsidRDefault="009B4AFE" w14:paraId="701D385F" w14:textId="222D3F83">
      <w:pPr>
        <w:pStyle w:val="zGNormalDefinition"/>
        <w:rPr>
          <w:sz w:val="20"/>
        </w:rPr>
      </w:pPr>
      <w:r w:rsidRPr="001703E6">
        <w:rPr>
          <w:b/>
          <w:bCs/>
          <w:sz w:val="20"/>
          <w:u w:val="single"/>
        </w:rPr>
        <w:t>Material Casualty Loss</w:t>
      </w:r>
      <w:r w:rsidRPr="001703E6">
        <w:rPr>
          <w:b/>
          <w:bCs/>
          <w:sz w:val="20"/>
        </w:rPr>
        <w:t>:</w:t>
      </w:r>
      <w:r w:rsidRPr="001703E6">
        <w:rPr>
          <w:sz w:val="20"/>
        </w:rPr>
        <w:t xml:space="preserve"> </w:t>
      </w:r>
      <w:r w:rsidRPr="001703E6">
        <w:rPr>
          <w:rStyle w:val="zGNormalChar"/>
        </w:rPr>
        <w:t xml:space="preserve">A Casualty Loss with an aggregate Restoration Cost that exceeds the </w:t>
      </w:r>
      <w:proofErr w:type="gramStart"/>
      <w:r w:rsidRPr="001703E6">
        <w:rPr>
          <w:rStyle w:val="zGNormalChar"/>
        </w:rPr>
        <w:t>percentage,</w:t>
      </w:r>
      <w:proofErr w:type="gramEnd"/>
      <w:r w:rsidRPr="001703E6">
        <w:rPr>
          <w:rStyle w:val="zGNormalChar"/>
        </w:rPr>
        <w:t xml:space="preserve"> specified in Exhibit A-1 (</w:t>
      </w:r>
      <w:r w:rsidRPr="001703E6">
        <w:rPr>
          <w:rStyle w:val="zGNormalChar"/>
          <w:i/>
          <w:iCs/>
        </w:rPr>
        <w:t>Facility Information and Additional Details</w:t>
      </w:r>
      <w:r w:rsidRPr="001703E6">
        <w:rPr>
          <w:rStyle w:val="zGNormalChar"/>
        </w:rPr>
        <w:t xml:space="preserve">) of the Base Purchase Price. </w:t>
      </w:r>
      <w:r w:rsidRPr="008413E5">
        <w:rPr>
          <w:rStyle w:val="zGNormalChar"/>
          <w:b/>
          <w:bCs/>
          <w:highlight w:val="cyan"/>
        </w:rPr>
        <w:t>[Note to Bidders: Percentage will depend on the resource type.]</w:t>
      </w:r>
    </w:p>
    <w:p w:rsidRPr="001703E6" w:rsidR="009B4AFE" w:rsidP="00B62EAE" w:rsidRDefault="009B4AFE" w14:paraId="2C0882CF" w14:textId="750156DA">
      <w:pPr>
        <w:pStyle w:val="zGNormalDefinition"/>
        <w:rPr>
          <w:sz w:val="20"/>
        </w:rPr>
      </w:pPr>
      <w:r w:rsidRPr="001703E6">
        <w:rPr>
          <w:b/>
          <w:bCs/>
          <w:sz w:val="20"/>
          <w:u w:val="single"/>
        </w:rPr>
        <w:t>New Matter</w:t>
      </w:r>
      <w:r w:rsidRPr="001703E6">
        <w:rPr>
          <w:b/>
          <w:bCs/>
          <w:sz w:val="20"/>
        </w:rPr>
        <w:t>:</w:t>
      </w:r>
      <w:r w:rsidRPr="001703E6">
        <w:rPr>
          <w:sz w:val="20"/>
        </w:rPr>
        <w:t xml:space="preserve"> </w:t>
      </w:r>
      <w:r w:rsidRPr="001703E6">
        <w:rPr>
          <w:rStyle w:val="zGNormalChar"/>
        </w:rPr>
        <w:t>As defined in Section 5.18</w:t>
      </w:r>
      <w:r w:rsidRPr="001703E6" w:rsidR="00D72975">
        <w:rPr>
          <w:rStyle w:val="zGNormalChar"/>
        </w:rPr>
        <w:t>.1</w:t>
      </w:r>
      <w:r w:rsidRPr="001703E6">
        <w:rPr>
          <w:rStyle w:val="zGNormalChar"/>
        </w:rPr>
        <w:t xml:space="preserve"> (</w:t>
      </w:r>
      <w:r w:rsidRPr="001703E6">
        <w:rPr>
          <w:rStyle w:val="zGNormalChar"/>
          <w:i/>
          <w:iCs/>
        </w:rPr>
        <w:t>Schedule Updates</w:t>
      </w:r>
      <w:r w:rsidRPr="001703E6">
        <w:rPr>
          <w:rStyle w:val="zGNormalChar"/>
        </w:rPr>
        <w:t>).</w:t>
      </w:r>
    </w:p>
    <w:p w:rsidRPr="001703E6" w:rsidR="00BF4918" w:rsidP="00B62EAE" w:rsidRDefault="00BF4918" w14:paraId="5D8F010F" w14:textId="77777777">
      <w:pPr>
        <w:pStyle w:val="zGNormalDefinition"/>
        <w:rPr>
          <w:rStyle w:val="zGNormalChar"/>
        </w:rPr>
      </w:pPr>
      <w:r w:rsidRPr="001703E6">
        <w:rPr>
          <w:b/>
          <w:bCs/>
          <w:sz w:val="20"/>
          <w:u w:val="single"/>
        </w:rPr>
        <w:t>Notification Report Form</w:t>
      </w:r>
      <w:r w:rsidRPr="001703E6">
        <w:rPr>
          <w:b/>
          <w:bCs/>
          <w:sz w:val="20"/>
        </w:rPr>
        <w:t>:</w:t>
      </w:r>
      <w:r w:rsidRPr="001703E6">
        <w:rPr>
          <w:sz w:val="20"/>
        </w:rPr>
        <w:t xml:space="preserve"> </w:t>
      </w:r>
      <w:r w:rsidRPr="001703E6">
        <w:rPr>
          <w:rStyle w:val="zGNormalChar"/>
        </w:rPr>
        <w:t xml:space="preserve">The notification and report form required to be filed in accordance with the HSR Act. </w:t>
      </w:r>
    </w:p>
    <w:p w:rsidRPr="001703E6" w:rsidR="00910011" w:rsidP="00B71D5E" w:rsidRDefault="00990FF9" w14:paraId="52288FB0" w14:textId="77777777">
      <w:pPr>
        <w:pStyle w:val="zGNormalDefinition"/>
        <w:spacing w:before="120" w:after="120"/>
        <w:rPr>
          <w:spacing w:val="0"/>
          <w:sz w:val="20"/>
        </w:rPr>
      </w:pPr>
      <w:r w:rsidRPr="001703E6">
        <w:rPr>
          <w:b/>
          <w:bCs/>
          <w:spacing w:val="0"/>
          <w:sz w:val="20"/>
          <w:u w:val="single"/>
        </w:rPr>
        <w:t>Objectionable Title and Survey Matters</w:t>
      </w:r>
      <w:r w:rsidRPr="001703E6">
        <w:rPr>
          <w:b/>
          <w:bCs/>
          <w:spacing w:val="0"/>
          <w:sz w:val="20"/>
        </w:rPr>
        <w:t>:</w:t>
      </w:r>
      <w:r w:rsidRPr="001703E6">
        <w:rPr>
          <w:spacing w:val="0"/>
          <w:sz w:val="20"/>
        </w:rPr>
        <w:t xml:space="preserve"> </w:t>
      </w:r>
      <w:r w:rsidRPr="001703E6">
        <w:rPr>
          <w:rStyle w:val="zGNormalChar"/>
        </w:rPr>
        <w:t xml:space="preserve">All matters shown on the Title Commitments or the ALTA Survey (other than Permitted Liens) that GPC has identified as requiring cure in accordance with Section 5.14.5 (Title and Survey Objection Notice), including title matters that: (i) relate to a fee mortgage that is superior to any Real Property Agreements that could be cured by the provision of a non-disturbance and attornment agreement acceptable to GPC in its reasonable discretion, or the payment of funds to have the mortgage released; (ii) relate to overdue tax payments, mechanics liens, judgment liens, or other, similar liens on the fee property that could be released with the payment of funds; (iii) as to each individual non-monetary Lien, could be cured with the payment of monetary consideration; (iv) could be cured with endorsements to the Title Policy that are acceptable to GPC in its reasonable discretion and required to address Objectionable Title and Survey Matters; </w:t>
      </w:r>
      <w:r w:rsidRPr="001703E6">
        <w:rPr>
          <w:rStyle w:val="zGNormalChar"/>
          <w:highlight w:val="yellow"/>
        </w:rPr>
        <w:t>[or ]</w:t>
      </w:r>
      <w:r w:rsidRPr="001703E6">
        <w:rPr>
          <w:rStyle w:val="zGNormalChar"/>
        </w:rPr>
        <w:t>(v) if not cured could materially detract from the value or materially interfere with the operation of the Facility, as determined by GPC in its reasonable discretion</w:t>
      </w:r>
      <w:r w:rsidRPr="001703E6">
        <w:rPr>
          <w:rStyle w:val="zGNormalChar"/>
          <w:highlight w:val="yellow"/>
        </w:rPr>
        <w:t xml:space="preserve">[; or (vi) </w:t>
      </w:r>
      <w:bookmarkStart w:name="_Hlk144194745" w:id="10"/>
      <w:r w:rsidRPr="001703E6">
        <w:rPr>
          <w:rStyle w:val="zGNormalChar"/>
          <w:highlight w:val="yellow"/>
        </w:rPr>
        <w:t xml:space="preserve">#OtherRelevantTitleIssues] </w:t>
      </w:r>
      <w:r w:rsidRPr="008413E5">
        <w:rPr>
          <w:rStyle w:val="zGNormalChar"/>
          <w:b/>
          <w:bCs/>
          <w:highlight w:val="cyan"/>
        </w:rPr>
        <w:t>[Note to Bidders: Placeholder for other relevant title issues.]</w:t>
      </w:r>
      <w:bookmarkEnd w:id="10"/>
      <w:r w:rsidRPr="001703E6">
        <w:rPr>
          <w:rStyle w:val="zGNormalChar"/>
        </w:rPr>
        <w:t>.</w:t>
      </w:r>
    </w:p>
    <w:p w:rsidRPr="001703E6" w:rsidR="001E1F94" w:rsidP="00B71D5E" w:rsidRDefault="001458A1" w14:paraId="791D3AB6" w14:textId="77777777">
      <w:pPr>
        <w:pStyle w:val="zGNormalDefinition"/>
        <w:spacing w:before="120" w:after="120"/>
        <w:rPr>
          <w:b/>
          <w:bCs/>
          <w:spacing w:val="0"/>
          <w:sz w:val="20"/>
          <w:u w:val="single"/>
        </w:rPr>
      </w:pPr>
      <w:r w:rsidRPr="001703E6">
        <w:rPr>
          <w:b/>
          <w:bCs/>
          <w:spacing w:val="0"/>
          <w:sz w:val="20"/>
          <w:u w:val="single"/>
        </w:rPr>
        <w:t>Objection Notice</w:t>
      </w:r>
      <w:r w:rsidRPr="001703E6">
        <w:rPr>
          <w:b/>
          <w:bCs/>
          <w:spacing w:val="0"/>
          <w:sz w:val="20"/>
        </w:rPr>
        <w:t>:</w:t>
      </w:r>
      <w:r w:rsidRPr="001703E6">
        <w:rPr>
          <w:spacing w:val="0"/>
          <w:sz w:val="20"/>
        </w:rPr>
        <w:t xml:space="preserve"> </w:t>
      </w:r>
      <w:r w:rsidRPr="001703E6">
        <w:rPr>
          <w:rStyle w:val="zGNormalChar"/>
        </w:rPr>
        <w:t>As defined in Section 2.2.3(i) (</w:t>
      </w:r>
      <w:r w:rsidRPr="001703E6">
        <w:rPr>
          <w:rStyle w:val="zGNormalChar"/>
          <w:i/>
          <w:iCs/>
        </w:rPr>
        <w:t>Objection Notice and Review Period</w:t>
      </w:r>
      <w:r w:rsidRPr="001703E6">
        <w:rPr>
          <w:rStyle w:val="zGNormalChar"/>
        </w:rPr>
        <w:t>).</w:t>
      </w:r>
    </w:p>
    <w:p w:rsidRPr="001703E6" w:rsidR="0029492C" w:rsidP="00B71D5E" w:rsidRDefault="0029492C" w14:paraId="716247E8" w14:textId="77777777">
      <w:pPr>
        <w:pStyle w:val="zGNormalDefinition"/>
        <w:spacing w:before="120" w:after="120"/>
        <w:rPr>
          <w:spacing w:val="0"/>
          <w:sz w:val="20"/>
        </w:rPr>
      </w:pPr>
      <w:r w:rsidRPr="001703E6">
        <w:rPr>
          <w:b/>
          <w:bCs/>
          <w:spacing w:val="0"/>
          <w:sz w:val="20"/>
          <w:u w:val="single"/>
        </w:rPr>
        <w:lastRenderedPageBreak/>
        <w:t>Order</w:t>
      </w:r>
      <w:r w:rsidRPr="001703E6">
        <w:rPr>
          <w:b/>
          <w:bCs/>
          <w:spacing w:val="0"/>
          <w:sz w:val="20"/>
        </w:rPr>
        <w:t>:</w:t>
      </w:r>
      <w:r w:rsidRPr="001703E6">
        <w:rPr>
          <w:spacing w:val="0"/>
          <w:sz w:val="20"/>
        </w:rPr>
        <w:t xml:space="preserve"> </w:t>
      </w:r>
      <w:r w:rsidRPr="001703E6">
        <w:rPr>
          <w:rStyle w:val="zGNormalChar"/>
        </w:rPr>
        <w:t>Any award, decision, injunction, judgment, order, writ, decree, ruling, subpoena, or verdict entered, issued, made, or rendered by any Governmental Authority that possesses competent jurisdiction (in each case, whether preliminary or final).</w:t>
      </w:r>
    </w:p>
    <w:p w:rsidRPr="001703E6" w:rsidR="0029492C" w:rsidP="00B71D5E" w:rsidRDefault="0029492C" w14:paraId="626D8FC8" w14:textId="77777777">
      <w:pPr>
        <w:pStyle w:val="zGNormalDefinition"/>
        <w:widowControl/>
        <w:spacing w:before="120" w:after="120"/>
        <w:rPr>
          <w:rStyle w:val="zGNormalChar"/>
        </w:rPr>
      </w:pPr>
      <w:r w:rsidRPr="001703E6">
        <w:rPr>
          <w:b/>
          <w:bCs/>
          <w:spacing w:val="0"/>
          <w:sz w:val="20"/>
          <w:u w:val="single"/>
        </w:rPr>
        <w:t>Organizational Documents</w:t>
      </w:r>
      <w:r w:rsidRPr="001703E6">
        <w:rPr>
          <w:b/>
          <w:bCs/>
          <w:spacing w:val="0"/>
          <w:sz w:val="20"/>
        </w:rPr>
        <w:t>:</w:t>
      </w:r>
      <w:r w:rsidRPr="001703E6">
        <w:rPr>
          <w:spacing w:val="0"/>
          <w:sz w:val="20"/>
        </w:rPr>
        <w:t xml:space="preserve"> </w:t>
      </w:r>
      <w:r w:rsidRPr="001703E6">
        <w:rPr>
          <w:rStyle w:val="zGNormalChar"/>
        </w:rPr>
        <w:t>(i) Regarding any corporation, its articles or certificate of incorporation and bylaws; (ii) with respect to any limited liability company, its articles or certificate of organization or formation and its operating agreement or limited liability company agreement or documents of similar substance; (iii) with respect to any limited partnership, its certificate of limited partnership and partnership agreement or governing or organizational documents of similar substance; and (iv) with respect to any other entity, governing or organizational documents of similar substance to any of the foregoing and in the case of each of clauses (i) through (iv), in effect from time to time.</w:t>
      </w:r>
    </w:p>
    <w:p w:rsidRPr="001703E6" w:rsidR="00496812" w:rsidP="00B62EAE" w:rsidRDefault="00496812" w14:paraId="2031D947" w14:textId="77777777">
      <w:pPr>
        <w:pStyle w:val="zGNormalDefinition"/>
        <w:rPr>
          <w:sz w:val="20"/>
        </w:rPr>
      </w:pPr>
      <w:r w:rsidRPr="001703E6">
        <w:rPr>
          <w:b/>
          <w:bCs/>
          <w:sz w:val="20"/>
          <w:u w:val="single"/>
        </w:rPr>
        <w:t>Outage Period</w:t>
      </w:r>
      <w:r w:rsidRPr="001703E6">
        <w:rPr>
          <w:b/>
          <w:bCs/>
          <w:sz w:val="20"/>
        </w:rPr>
        <w:t>:</w:t>
      </w:r>
      <w:r w:rsidRPr="001703E6">
        <w:rPr>
          <w:sz w:val="20"/>
        </w:rPr>
        <w:t xml:space="preserve"> </w:t>
      </w:r>
      <w:r w:rsidRPr="001703E6">
        <w:rPr>
          <w:rStyle w:val="zGNormalChar"/>
        </w:rPr>
        <w:t>Any period during which all or a portion of the Facility's capability is not available for normal operation due to: (i) scheduled or unscheduled maintenance; or (ii) other planned or unplanned events that interrupt the Facility's normal operation.</w:t>
      </w:r>
    </w:p>
    <w:p w:rsidRPr="001703E6" w:rsidR="0029492C" w:rsidP="00B71D5E" w:rsidRDefault="0029492C" w14:paraId="336948AB" w14:textId="77777777">
      <w:pPr>
        <w:pStyle w:val="zGNormalDefinition"/>
        <w:spacing w:before="120" w:after="120"/>
        <w:rPr>
          <w:spacing w:val="0"/>
          <w:sz w:val="20"/>
        </w:rPr>
      </w:pPr>
      <w:r w:rsidRPr="001703E6">
        <w:rPr>
          <w:b/>
          <w:bCs/>
          <w:spacing w:val="0"/>
          <w:sz w:val="20"/>
          <w:u w:val="single"/>
        </w:rPr>
        <w:t>Outside Date</w:t>
      </w:r>
      <w:r w:rsidRPr="001703E6">
        <w:rPr>
          <w:b/>
          <w:bCs/>
          <w:spacing w:val="0"/>
          <w:sz w:val="20"/>
        </w:rPr>
        <w:t>:</w:t>
      </w:r>
      <w:r w:rsidRPr="001703E6">
        <w:rPr>
          <w:spacing w:val="0"/>
          <w:sz w:val="20"/>
        </w:rPr>
        <w:t xml:space="preserve"> </w:t>
      </w:r>
      <w:r w:rsidRPr="001703E6">
        <w:rPr>
          <w:rStyle w:val="zGNormalChar"/>
        </w:rPr>
        <w:t>As defined in Section 9.1.1 (</w:t>
      </w:r>
      <w:r w:rsidRPr="001703E6">
        <w:rPr>
          <w:rStyle w:val="zGNormalChar"/>
          <w:i/>
          <w:iCs/>
        </w:rPr>
        <w:t>Termination for Failure to Close by Outside Date</w:t>
      </w:r>
      <w:r w:rsidRPr="001703E6">
        <w:rPr>
          <w:rStyle w:val="zGNormalChar"/>
        </w:rPr>
        <w:t>).</w:t>
      </w:r>
    </w:p>
    <w:p w:rsidRPr="001703E6" w:rsidR="0C3DCB4C" w:rsidP="4F02190C" w:rsidRDefault="0029492C" w14:paraId="691593B9" w14:textId="77777777">
      <w:pPr>
        <w:pStyle w:val="zGNormalDefinition"/>
        <w:spacing w:before="120" w:after="120"/>
        <w:rPr>
          <w:sz w:val="20"/>
        </w:rPr>
      </w:pPr>
      <w:r w:rsidRPr="001703E6">
        <w:rPr>
          <w:b/>
          <w:bCs/>
          <w:spacing w:val="0"/>
          <w:sz w:val="20"/>
          <w:u w:val="single"/>
        </w:rPr>
        <w:t>Party</w:t>
      </w:r>
      <w:r w:rsidRPr="001703E6">
        <w:rPr>
          <w:spacing w:val="0"/>
          <w:sz w:val="20"/>
        </w:rPr>
        <w:t xml:space="preserve"> or </w:t>
      </w:r>
      <w:r w:rsidRPr="001703E6">
        <w:rPr>
          <w:b/>
          <w:bCs/>
          <w:spacing w:val="0"/>
          <w:sz w:val="20"/>
          <w:u w:val="single"/>
        </w:rPr>
        <w:t>Parties</w:t>
      </w:r>
      <w:r w:rsidRPr="001703E6">
        <w:rPr>
          <w:b/>
          <w:bCs/>
          <w:spacing w:val="0"/>
          <w:sz w:val="20"/>
        </w:rPr>
        <w:t>:</w:t>
      </w:r>
      <w:r w:rsidRPr="001703E6">
        <w:rPr>
          <w:spacing w:val="0"/>
          <w:sz w:val="20"/>
        </w:rPr>
        <w:t xml:space="preserve"> </w:t>
      </w:r>
      <w:r w:rsidRPr="001703E6">
        <w:rPr>
          <w:rStyle w:val="zGNormalChar"/>
        </w:rPr>
        <w:t>As defined in the preamble of this APA.</w:t>
      </w:r>
    </w:p>
    <w:p w:rsidRPr="001703E6" w:rsidR="005638B9" w:rsidP="00B71D5E" w:rsidRDefault="005638B9" w14:paraId="7BD1049C" w14:textId="532343EA">
      <w:pPr>
        <w:pStyle w:val="zGNormalDefinition"/>
        <w:spacing w:before="120" w:after="120"/>
        <w:rPr>
          <w:spacing w:val="0"/>
          <w:sz w:val="20"/>
        </w:rPr>
      </w:pPr>
      <w:r w:rsidRPr="001703E6">
        <w:rPr>
          <w:b/>
          <w:bCs/>
          <w:spacing w:val="0"/>
          <w:sz w:val="20"/>
          <w:u w:val="single"/>
        </w:rPr>
        <w:t>Performance Security</w:t>
      </w:r>
      <w:r w:rsidRPr="001703E6">
        <w:rPr>
          <w:b/>
          <w:bCs/>
          <w:spacing w:val="0"/>
          <w:sz w:val="20"/>
        </w:rPr>
        <w:t>:</w:t>
      </w:r>
      <w:r w:rsidRPr="001703E6">
        <w:rPr>
          <w:spacing w:val="0"/>
          <w:sz w:val="20"/>
        </w:rPr>
        <w:t xml:space="preserve"> </w:t>
      </w:r>
      <w:r w:rsidRPr="001703E6">
        <w:rPr>
          <w:rStyle w:val="zGNormalChar"/>
        </w:rPr>
        <w:t xml:space="preserve">Eligible Collateral </w:t>
      </w:r>
      <w:r w:rsidRPr="001703E6" w:rsidR="0035660B">
        <w:rPr>
          <w:rStyle w:val="zGNormalChar"/>
        </w:rPr>
        <w:t>provided</w:t>
      </w:r>
      <w:r w:rsidRPr="001703E6">
        <w:rPr>
          <w:rStyle w:val="zGNormalChar"/>
        </w:rPr>
        <w:t xml:space="preserve"> by Seller to secure Seller’s obligations under this APA.</w:t>
      </w:r>
    </w:p>
    <w:p w:rsidRPr="001703E6" w:rsidR="0029492C" w:rsidP="00B71D5E" w:rsidRDefault="0029492C" w14:paraId="1CAABDCC" w14:textId="77777777">
      <w:pPr>
        <w:pStyle w:val="zGNormalDefinition"/>
        <w:spacing w:before="120" w:after="120"/>
        <w:rPr>
          <w:spacing w:val="0"/>
          <w:sz w:val="20"/>
        </w:rPr>
      </w:pPr>
      <w:r w:rsidRPr="001703E6">
        <w:rPr>
          <w:b/>
          <w:bCs/>
          <w:spacing w:val="0"/>
          <w:sz w:val="20"/>
          <w:u w:val="single"/>
        </w:rPr>
        <w:t>Permit</w:t>
      </w:r>
      <w:r w:rsidRPr="001703E6">
        <w:rPr>
          <w:b/>
          <w:bCs/>
          <w:spacing w:val="0"/>
          <w:sz w:val="20"/>
        </w:rPr>
        <w:t>:</w:t>
      </w:r>
      <w:r w:rsidRPr="001703E6">
        <w:rPr>
          <w:spacing w:val="0"/>
          <w:sz w:val="20"/>
        </w:rPr>
        <w:t xml:space="preserve"> </w:t>
      </w:r>
      <w:r w:rsidRPr="001703E6">
        <w:rPr>
          <w:rStyle w:val="zGNormalChar"/>
        </w:rPr>
        <w:t>Any permit, certificate, license, franchise, consent, approval, registration, franchise, tariff, rate, waiver, exemption, condition, Order, or authorization issued, made, or rendered by, or any registration, notice, declaration, or filing with, any Governmental Authority that possesses competent jurisdiction.</w:t>
      </w:r>
    </w:p>
    <w:p w:rsidRPr="001703E6" w:rsidR="0029492C" w:rsidP="00B71D5E" w:rsidRDefault="0029492C" w14:paraId="5D400EF4" w14:textId="608B853D">
      <w:pPr>
        <w:pStyle w:val="zGNormalDefinition"/>
        <w:widowControl/>
        <w:spacing w:before="120" w:after="120"/>
        <w:rPr>
          <w:spacing w:val="0"/>
          <w:sz w:val="20"/>
        </w:rPr>
      </w:pPr>
      <w:r w:rsidRPr="001703E6">
        <w:rPr>
          <w:b/>
          <w:bCs/>
          <w:spacing w:val="0"/>
          <w:sz w:val="20"/>
          <w:u w:val="single"/>
        </w:rPr>
        <w:t>Permitted Lien</w:t>
      </w:r>
      <w:r w:rsidRPr="001703E6">
        <w:rPr>
          <w:b/>
          <w:bCs/>
          <w:spacing w:val="0"/>
          <w:sz w:val="20"/>
        </w:rPr>
        <w:t>:</w:t>
      </w:r>
      <w:r w:rsidRPr="001703E6">
        <w:rPr>
          <w:spacing w:val="0"/>
          <w:sz w:val="20"/>
        </w:rPr>
        <w:t xml:space="preserve"> </w:t>
      </w:r>
      <w:r w:rsidRPr="001703E6">
        <w:rPr>
          <w:rStyle w:val="zGNormalChar"/>
        </w:rPr>
        <w:t>(i) Any Lien for Taxes not yet due and payable or that are being contested in good faith by appropriate proceedings and for which adequate reserves have been established in accordance with GAAP; (ii) any zoning, planning, or other similar limitation or restriction, and all rights of any Governmental Authority to regulate the Facility Real Property, to the extent that no violation exists at the Closing; (iii) with respect to the Facility Real Property, the terms and conditions of the Real Property Agreements; (iv) any Lien disclosed in Section 1.1 of the Seller Disclosure Schedule; (v) any other Lien, imperfection, or irregularity of title, right-of-way, easement, servitude, restriction, covenant, or other similar non-monetary matter of record that does not, and would not reasonably be expected to, individually or in the aggregate: (a) materially detract from the value of the Facility or the Facility Assets; or (b) materially interfere with the use or operation of the Facility or the Facility Assets; and (vi) any Lien created by the action of GPC or any of its Affiliates or which is deemed to be a Permitted Lien under Section 5.14.5 (</w:t>
      </w:r>
      <w:r w:rsidRPr="001703E6">
        <w:rPr>
          <w:rStyle w:val="zGNormalChar"/>
          <w:i/>
          <w:iCs/>
        </w:rPr>
        <w:t>Title and Survey Objection Matters</w:t>
      </w:r>
      <w:r w:rsidRPr="001703E6">
        <w:rPr>
          <w:rStyle w:val="zGNormalChar"/>
        </w:rPr>
        <w:t>).</w:t>
      </w:r>
    </w:p>
    <w:p w:rsidRPr="001703E6" w:rsidR="00701B42" w:rsidP="00B62EAE" w:rsidRDefault="0029492C" w14:paraId="7D8A8A4B" w14:textId="77777777">
      <w:pPr>
        <w:pStyle w:val="zGNormalDefinition"/>
        <w:rPr>
          <w:sz w:val="20"/>
        </w:rPr>
      </w:pPr>
      <w:r w:rsidRPr="001703E6">
        <w:rPr>
          <w:b/>
          <w:bCs/>
          <w:sz w:val="20"/>
          <w:u w:val="single"/>
        </w:rPr>
        <w:t>Person</w:t>
      </w:r>
      <w:r w:rsidRPr="001703E6">
        <w:rPr>
          <w:b/>
          <w:bCs/>
          <w:sz w:val="20"/>
        </w:rPr>
        <w:t>:</w:t>
      </w:r>
      <w:r w:rsidRPr="001703E6">
        <w:rPr>
          <w:sz w:val="20"/>
        </w:rPr>
        <w:t xml:space="preserve"> </w:t>
      </w:r>
      <w:r w:rsidRPr="001703E6">
        <w:rPr>
          <w:rStyle w:val="zGNormalChar"/>
        </w:rPr>
        <w:t>Any natural person, corporation, limited liability company, general partnership, limited partnership, proprietorship, other business organization, trust, union, association, or Governmental Authority.</w:t>
      </w:r>
    </w:p>
    <w:p w:rsidRPr="001703E6" w:rsidR="004B0E41" w:rsidP="00B71D5E" w:rsidRDefault="004B0E41" w14:paraId="46E84F6A" w14:textId="77777777">
      <w:pPr>
        <w:pStyle w:val="zGNormalDefinition"/>
        <w:spacing w:before="120" w:after="120"/>
        <w:rPr>
          <w:sz w:val="20"/>
        </w:rPr>
      </w:pPr>
      <w:r w:rsidRPr="001703E6">
        <w:rPr>
          <w:b/>
          <w:bCs/>
          <w:sz w:val="20"/>
          <w:u w:val="single"/>
        </w:rPr>
        <w:t>Placed in Service</w:t>
      </w:r>
      <w:r w:rsidRPr="001703E6">
        <w:rPr>
          <w:b/>
          <w:bCs/>
          <w:sz w:val="20"/>
        </w:rPr>
        <w:t>:</w:t>
      </w:r>
      <w:r w:rsidRPr="001703E6">
        <w:rPr>
          <w:sz w:val="20"/>
        </w:rPr>
        <w:t xml:space="preserve"> </w:t>
      </w:r>
      <w:bookmarkStart w:name="_Hlk143872426" w:id="11"/>
      <w:r w:rsidRPr="001703E6">
        <w:rPr>
          <w:rStyle w:val="zGNormalChar"/>
        </w:rPr>
        <w:t xml:space="preserve">The date on which all of the following has occurred with respect to the Facility and the Facility Assets: </w:t>
      </w:r>
      <w:bookmarkEnd w:id="11"/>
      <w:r w:rsidRPr="001703E6">
        <w:rPr>
          <w:rStyle w:val="zGNormalChar"/>
        </w:rPr>
        <w:t>(i) all necessary governmental Permits have been received; (ii) all critical testing of the Facility has been successfully completed; (iii) if applicable, care, custody, and control has passed from the construction contractor to Seller; (iv) synchronization with the Electric System has occurred; and (v) electrical energy is being produced on a regular basis in commercially reasonable quantities.</w:t>
      </w:r>
      <w:r w:rsidRPr="001703E6">
        <w:rPr>
          <w:sz w:val="20"/>
        </w:rPr>
        <w:t xml:space="preserve"> </w:t>
      </w:r>
    </w:p>
    <w:p w:rsidRPr="001703E6" w:rsidR="004C4241" w:rsidP="00026F29" w:rsidRDefault="004C4241" w14:paraId="593B6C33" w14:textId="77777777">
      <w:pPr>
        <w:pStyle w:val="zGNormalDefinition"/>
        <w:widowControl/>
        <w:spacing w:before="120" w:after="120"/>
        <w:rPr>
          <w:b/>
          <w:bCs/>
          <w:spacing w:val="0"/>
          <w:sz w:val="20"/>
          <w:u w:val="single"/>
        </w:rPr>
      </w:pPr>
      <w:r w:rsidRPr="001703E6">
        <w:rPr>
          <w:b/>
          <w:bCs/>
          <w:spacing w:val="0"/>
          <w:sz w:val="20"/>
          <w:u w:val="single"/>
        </w:rPr>
        <w:t>Point of Interconnection</w:t>
      </w:r>
      <w:r w:rsidRPr="001703E6">
        <w:rPr>
          <w:b/>
          <w:bCs/>
          <w:spacing w:val="0"/>
          <w:sz w:val="20"/>
        </w:rPr>
        <w:t>:</w:t>
      </w:r>
      <w:r w:rsidRPr="001703E6">
        <w:rPr>
          <w:spacing w:val="0"/>
          <w:sz w:val="20"/>
        </w:rPr>
        <w:t xml:space="preserve"> </w:t>
      </w:r>
      <w:r w:rsidRPr="001703E6">
        <w:rPr>
          <w:rStyle w:val="zGNormalChar"/>
        </w:rPr>
        <w:t>The point at which the Facility is interconnected to the Electric System, as defined in the Interconnection Agreement with the applicable Interconnection Provider.</w:t>
      </w:r>
    </w:p>
    <w:p w:rsidRPr="001703E6" w:rsidR="0029492C" w:rsidP="00B71D5E" w:rsidRDefault="0029492C" w14:paraId="57B2C06F" w14:textId="77777777">
      <w:pPr>
        <w:pStyle w:val="zGNormalDefinition"/>
        <w:spacing w:before="120" w:after="120"/>
        <w:rPr>
          <w:spacing w:val="0"/>
          <w:sz w:val="20"/>
        </w:rPr>
      </w:pPr>
      <w:r w:rsidRPr="001703E6">
        <w:rPr>
          <w:b/>
          <w:bCs/>
          <w:spacing w:val="0"/>
          <w:sz w:val="20"/>
          <w:u w:val="single"/>
        </w:rPr>
        <w:t>Post-Closing Tax Period</w:t>
      </w:r>
      <w:r w:rsidRPr="001703E6">
        <w:rPr>
          <w:b/>
          <w:bCs/>
          <w:spacing w:val="0"/>
          <w:sz w:val="20"/>
        </w:rPr>
        <w:t>:</w:t>
      </w:r>
      <w:r w:rsidRPr="001703E6">
        <w:rPr>
          <w:spacing w:val="0"/>
          <w:sz w:val="20"/>
        </w:rPr>
        <w:t xml:space="preserve"> </w:t>
      </w:r>
      <w:r w:rsidRPr="001703E6">
        <w:rPr>
          <w:rStyle w:val="zGNormalChar"/>
        </w:rPr>
        <w:t>Any Tax period beginning after the Closing Date, and the portion of any Straddle Period beginning on the date immediately following the Closing Date.</w:t>
      </w:r>
    </w:p>
    <w:p w:rsidRPr="001703E6" w:rsidR="0029492C" w:rsidP="00B71D5E" w:rsidRDefault="0029492C" w14:paraId="7F8D4F57" w14:textId="77777777">
      <w:pPr>
        <w:pStyle w:val="zGNormalDefinition"/>
        <w:spacing w:before="120" w:after="120"/>
        <w:rPr>
          <w:spacing w:val="0"/>
          <w:sz w:val="20"/>
        </w:rPr>
      </w:pPr>
      <w:r w:rsidRPr="001703E6">
        <w:rPr>
          <w:b/>
          <w:bCs/>
          <w:spacing w:val="0"/>
          <w:sz w:val="20"/>
          <w:u w:val="single"/>
        </w:rPr>
        <w:t>Pre-Closing Taxes</w:t>
      </w:r>
      <w:r w:rsidRPr="001703E6">
        <w:rPr>
          <w:b/>
          <w:bCs/>
          <w:spacing w:val="0"/>
          <w:sz w:val="20"/>
        </w:rPr>
        <w:t>:</w:t>
      </w:r>
      <w:r w:rsidRPr="001703E6">
        <w:rPr>
          <w:spacing w:val="0"/>
          <w:sz w:val="20"/>
        </w:rPr>
        <w:t xml:space="preserve"> </w:t>
      </w:r>
      <w:r w:rsidRPr="001703E6">
        <w:rPr>
          <w:rStyle w:val="zGNormalChar"/>
        </w:rPr>
        <w:t>Taxes imposed on Seller or regarding the Facility or the Facility Assets attributable to any Pre-Closing Tax Period.</w:t>
      </w:r>
    </w:p>
    <w:p w:rsidRPr="001703E6" w:rsidR="0029492C" w:rsidP="00B71D5E" w:rsidRDefault="0029492C" w14:paraId="6B29C7D2" w14:textId="4CDD5359">
      <w:pPr>
        <w:pStyle w:val="zGNormalDefinition"/>
        <w:spacing w:before="120" w:after="120"/>
        <w:rPr>
          <w:spacing w:val="0"/>
          <w:sz w:val="20"/>
        </w:rPr>
      </w:pPr>
      <w:r w:rsidRPr="001703E6">
        <w:rPr>
          <w:b/>
          <w:bCs/>
          <w:spacing w:val="0"/>
          <w:sz w:val="20"/>
          <w:u w:val="single"/>
        </w:rPr>
        <w:t>Pre-Closing Tax Period</w:t>
      </w:r>
      <w:r w:rsidRPr="001703E6">
        <w:rPr>
          <w:b/>
          <w:bCs/>
          <w:spacing w:val="0"/>
          <w:sz w:val="20"/>
        </w:rPr>
        <w:t>:</w:t>
      </w:r>
      <w:r w:rsidRPr="001703E6">
        <w:rPr>
          <w:spacing w:val="0"/>
          <w:sz w:val="20"/>
        </w:rPr>
        <w:t xml:space="preserve"> </w:t>
      </w:r>
      <w:r w:rsidRPr="001703E6">
        <w:rPr>
          <w:rStyle w:val="zGNormalChar"/>
        </w:rPr>
        <w:t xml:space="preserve">Any Tax period ending on or </w:t>
      </w:r>
      <w:r w:rsidRPr="001703E6" w:rsidR="00084E0A">
        <w:rPr>
          <w:rStyle w:val="zGNormalChar"/>
        </w:rPr>
        <w:t>before</w:t>
      </w:r>
      <w:r w:rsidRPr="001703E6">
        <w:rPr>
          <w:rStyle w:val="zGNormalChar"/>
        </w:rPr>
        <w:t xml:space="preserve"> the Closing Date, and the portion of any Straddle Period ending on the Closing Date.</w:t>
      </w:r>
    </w:p>
    <w:p w:rsidRPr="001703E6" w:rsidR="00516612" w:rsidP="00B71D5E" w:rsidRDefault="00E91BC6" w14:paraId="3CE3B003" w14:textId="77777777">
      <w:pPr>
        <w:pStyle w:val="zGNormalDefinition"/>
        <w:spacing w:before="120" w:after="120"/>
        <w:rPr>
          <w:spacing w:val="0"/>
          <w:sz w:val="20"/>
        </w:rPr>
      </w:pPr>
      <w:r w:rsidRPr="001703E6">
        <w:rPr>
          <w:b/>
          <w:bCs/>
          <w:spacing w:val="0"/>
          <w:sz w:val="20"/>
          <w:u w:val="single"/>
        </w:rPr>
        <w:t>Prevailing Wage Requirements</w:t>
      </w:r>
      <w:r w:rsidRPr="001703E6">
        <w:rPr>
          <w:b/>
          <w:bCs/>
          <w:spacing w:val="0"/>
          <w:sz w:val="20"/>
        </w:rPr>
        <w:t>:</w:t>
      </w:r>
      <w:r w:rsidRPr="001703E6">
        <w:rPr>
          <w:spacing w:val="0"/>
          <w:sz w:val="20"/>
        </w:rPr>
        <w:t xml:space="preserve"> </w:t>
      </w:r>
      <w:r w:rsidRPr="001703E6">
        <w:rPr>
          <w:rStyle w:val="zGNormalChar"/>
        </w:rPr>
        <w:t>The requirements of Code sections 45(b)(7), 45Y(g)(9), 48(a)(10), and 48E(d)(3), as applicable, and any guidance or other legal authorities, including any guidance published or issued by the U.S. Department of the Treasury (including IRS Notice 2022-61 or any other guidance issued by the IRS) or the U.S. Department of Labor.</w:t>
      </w:r>
    </w:p>
    <w:p w:rsidRPr="001703E6" w:rsidR="00DD4B06" w:rsidP="00DD4B06" w:rsidRDefault="00DD4B06" w14:paraId="05E42C26" w14:textId="77777777">
      <w:pPr>
        <w:pStyle w:val="zGNormalDefinition"/>
        <w:spacing w:before="120" w:after="120"/>
        <w:rPr>
          <w:spacing w:val="0"/>
          <w:sz w:val="20"/>
        </w:rPr>
      </w:pPr>
      <w:r w:rsidRPr="001703E6">
        <w:rPr>
          <w:b/>
          <w:bCs/>
          <w:spacing w:val="0"/>
          <w:sz w:val="20"/>
          <w:u w:val="single"/>
        </w:rPr>
        <w:t>Prudent Utility Practices</w:t>
      </w:r>
      <w:r w:rsidRPr="001703E6">
        <w:rPr>
          <w:b/>
          <w:bCs/>
          <w:spacing w:val="0"/>
          <w:sz w:val="20"/>
        </w:rPr>
        <w:t>:</w:t>
      </w:r>
      <w:r w:rsidRPr="001703E6">
        <w:rPr>
          <w:spacing w:val="0"/>
          <w:sz w:val="20"/>
        </w:rPr>
        <w:t xml:space="preserve"> </w:t>
      </w:r>
      <w:r w:rsidRPr="001703E6">
        <w:rPr>
          <w:rStyle w:val="zGNormalChar"/>
        </w:rPr>
        <w:t xml:space="preserve">Any of the practices, methods, standards, procedures, and acts: (i) required by the National Electric Safety Code or NERC, whether or not Seller is a member thereof; or (ii) engaged in or approved by a significant portion of Persons performing similar acts in the electric generating industry in the southeastern United States with respect to the development, design, engineering, construction, interconnection, commissioning, completion, ownership, leasing, licensing, operation, or maintenance of utility-scale,  electric generation facilities of similar type and size as the Facility during the relevant time period, or any of the practices, methods, and acts that, in the exercise of reasonable judgment in </w:t>
      </w:r>
      <w:r w:rsidRPr="001703E6">
        <w:rPr>
          <w:rStyle w:val="zGNormalChar"/>
        </w:rPr>
        <w:lastRenderedPageBreak/>
        <w:t>light of the facts known, or that should reasonably have been known, when the decision is made, could have reasonably been expected to accomplish the desired result in a manner consistent with commercially reasonable business practices, safety, reliability, economy, and expedition. Prudent Utility Practice are not intended to be limited to the optimum practices, methods, or acts to the exclusion of all others, but rather to be acceptable practices, methods, and acts generally accepted in the United States having due regard for, among other things, manufacturers’ warranties, applicable law, and, as applicable, requirements of this APA.</w:t>
      </w:r>
    </w:p>
    <w:p w:rsidRPr="001703E6" w:rsidR="00516612" w:rsidP="00B71D5E" w:rsidRDefault="00516612" w14:paraId="1D7E651B" w14:textId="77777777">
      <w:pPr>
        <w:pStyle w:val="zGNormalDefinition"/>
        <w:spacing w:before="120" w:after="120"/>
        <w:rPr>
          <w:spacing w:val="0"/>
          <w:sz w:val="20"/>
        </w:rPr>
      </w:pPr>
      <w:r w:rsidRPr="001703E6">
        <w:rPr>
          <w:b/>
          <w:bCs/>
          <w:spacing w:val="0"/>
          <w:sz w:val="20"/>
          <w:u w:val="single"/>
        </w:rPr>
        <w:t>PTC</w:t>
      </w:r>
      <w:r w:rsidRPr="001703E6">
        <w:rPr>
          <w:b/>
          <w:bCs/>
          <w:spacing w:val="0"/>
          <w:sz w:val="20"/>
        </w:rPr>
        <w:t>:</w:t>
      </w:r>
      <w:r w:rsidRPr="001703E6">
        <w:rPr>
          <w:spacing w:val="0"/>
          <w:sz w:val="20"/>
        </w:rPr>
        <w:t xml:space="preserve"> </w:t>
      </w:r>
      <w:r w:rsidRPr="001703E6">
        <w:rPr>
          <w:rStyle w:val="zGNormalChar"/>
        </w:rPr>
        <w:t>The production tax credit under Sections 45 and 45Y of the Code.</w:t>
      </w:r>
    </w:p>
    <w:p w:rsidRPr="001703E6" w:rsidR="0029492C" w:rsidP="00B71D5E" w:rsidRDefault="0029492C" w14:paraId="14F9723C" w14:textId="4140B03D">
      <w:pPr>
        <w:pStyle w:val="zGNormalDefinition"/>
        <w:spacing w:before="120" w:after="120"/>
        <w:rPr>
          <w:spacing w:val="0"/>
          <w:sz w:val="20"/>
        </w:rPr>
      </w:pPr>
      <w:r w:rsidRPr="001703E6">
        <w:rPr>
          <w:b/>
          <w:bCs/>
          <w:spacing w:val="0"/>
          <w:sz w:val="20"/>
          <w:u w:val="single"/>
        </w:rPr>
        <w:t>Purchase Price</w:t>
      </w:r>
      <w:r w:rsidRPr="001703E6">
        <w:rPr>
          <w:b/>
          <w:bCs/>
          <w:spacing w:val="0"/>
          <w:sz w:val="20"/>
        </w:rPr>
        <w:t>:</w:t>
      </w:r>
      <w:r w:rsidRPr="001703E6">
        <w:rPr>
          <w:spacing w:val="0"/>
          <w:sz w:val="20"/>
        </w:rPr>
        <w:t xml:space="preserve"> </w:t>
      </w:r>
      <w:r w:rsidRPr="001703E6">
        <w:rPr>
          <w:rStyle w:val="zGNormalChar"/>
        </w:rPr>
        <w:t>As defined in Section 1.6 (</w:t>
      </w:r>
      <w:r w:rsidRPr="001703E6">
        <w:rPr>
          <w:rStyle w:val="zGNormalChar"/>
          <w:i/>
          <w:iCs/>
        </w:rPr>
        <w:t>Purchase Price</w:t>
      </w:r>
      <w:r w:rsidRPr="001703E6">
        <w:rPr>
          <w:rStyle w:val="zGNormalChar"/>
        </w:rPr>
        <w:t>).</w:t>
      </w:r>
    </w:p>
    <w:p w:rsidRPr="001703E6" w:rsidR="005D10D8" w:rsidP="00B71D5E" w:rsidRDefault="005D10D8" w14:paraId="7C1B9014" w14:textId="64381F6C">
      <w:pPr>
        <w:pStyle w:val="zGNormalDefinition"/>
        <w:spacing w:before="120" w:after="120"/>
        <w:rPr>
          <w:spacing w:val="0"/>
          <w:sz w:val="20"/>
        </w:rPr>
      </w:pPr>
      <w:r w:rsidRPr="001703E6">
        <w:rPr>
          <w:b/>
          <w:bCs/>
          <w:spacing w:val="0"/>
          <w:sz w:val="20"/>
          <w:u w:val="single"/>
        </w:rPr>
        <w:t>Purchase Price Allocation</w:t>
      </w:r>
      <w:r w:rsidRPr="001703E6">
        <w:rPr>
          <w:b/>
          <w:sz w:val="20"/>
          <w:u w:val="single"/>
        </w:rPr>
        <w:t xml:space="preserve"> </w:t>
      </w:r>
      <w:r w:rsidRPr="001703E6" w:rsidR="00172D7B">
        <w:rPr>
          <w:b/>
          <w:sz w:val="20"/>
          <w:u w:val="single"/>
        </w:rPr>
        <w:t>Objection Notice</w:t>
      </w:r>
      <w:r w:rsidRPr="001703E6">
        <w:rPr>
          <w:b/>
          <w:bCs/>
          <w:spacing w:val="0"/>
          <w:sz w:val="20"/>
        </w:rPr>
        <w:t>:</w:t>
      </w:r>
      <w:r w:rsidRPr="001703E6">
        <w:rPr>
          <w:spacing w:val="0"/>
          <w:sz w:val="20"/>
        </w:rPr>
        <w:t xml:space="preserve"> </w:t>
      </w:r>
      <w:r w:rsidRPr="001703E6">
        <w:rPr>
          <w:rStyle w:val="zGNormalChar"/>
        </w:rPr>
        <w:t>As defined in Section 2.3.2 (</w:t>
      </w:r>
      <w:r w:rsidRPr="001703E6">
        <w:rPr>
          <w:rStyle w:val="zGNormalChar"/>
          <w:i/>
          <w:iCs/>
        </w:rPr>
        <w:t>Objections and Resolution</w:t>
      </w:r>
      <w:r w:rsidRPr="001703E6">
        <w:rPr>
          <w:rStyle w:val="zGNormalChar"/>
        </w:rPr>
        <w:t>).</w:t>
      </w:r>
    </w:p>
    <w:p w:rsidRPr="001703E6" w:rsidR="00F75BE4" w:rsidP="00B71D5E" w:rsidRDefault="00F75BE4" w14:paraId="680CF13B" w14:textId="02BCA9FB">
      <w:pPr>
        <w:pStyle w:val="zGNormalDefinition"/>
        <w:spacing w:before="120" w:after="120"/>
        <w:rPr>
          <w:spacing w:val="0"/>
          <w:sz w:val="20"/>
        </w:rPr>
      </w:pPr>
      <w:r w:rsidRPr="001703E6">
        <w:rPr>
          <w:b/>
          <w:bCs/>
          <w:spacing w:val="0"/>
          <w:sz w:val="20"/>
          <w:u w:val="single"/>
        </w:rPr>
        <w:t>Purchase Price Allocation</w:t>
      </w:r>
      <w:r w:rsidRPr="001703E6">
        <w:rPr>
          <w:b/>
          <w:sz w:val="20"/>
          <w:u w:val="single"/>
        </w:rPr>
        <w:t xml:space="preserve"> Review Period</w:t>
      </w:r>
      <w:r w:rsidRPr="001703E6">
        <w:rPr>
          <w:b/>
          <w:bCs/>
          <w:spacing w:val="0"/>
          <w:sz w:val="20"/>
        </w:rPr>
        <w:t>:</w:t>
      </w:r>
      <w:r w:rsidRPr="001703E6">
        <w:rPr>
          <w:spacing w:val="0"/>
          <w:sz w:val="20"/>
        </w:rPr>
        <w:t xml:space="preserve"> </w:t>
      </w:r>
      <w:r w:rsidRPr="001703E6">
        <w:rPr>
          <w:rStyle w:val="zGNormalChar"/>
        </w:rPr>
        <w:t>As defined in Section 2.3.2 (</w:t>
      </w:r>
      <w:r w:rsidRPr="001703E6" w:rsidR="005D10D8">
        <w:rPr>
          <w:rStyle w:val="zGNormalChar"/>
          <w:i/>
          <w:iCs/>
        </w:rPr>
        <w:t>Objections and Resolution</w:t>
      </w:r>
      <w:r w:rsidRPr="001703E6">
        <w:rPr>
          <w:rStyle w:val="zGNormalChar"/>
        </w:rPr>
        <w:t>).</w:t>
      </w:r>
    </w:p>
    <w:p w:rsidRPr="001703E6" w:rsidR="0029492C" w:rsidP="00B71D5E" w:rsidRDefault="0029492C" w14:paraId="40A02ED4" w14:textId="4815B5A7">
      <w:pPr>
        <w:pStyle w:val="zGNormalDefinition"/>
        <w:spacing w:before="120" w:after="120"/>
        <w:rPr>
          <w:rStyle w:val="zGNormalChar"/>
        </w:rPr>
      </w:pPr>
      <w:r w:rsidRPr="001703E6">
        <w:rPr>
          <w:b/>
          <w:bCs/>
          <w:spacing w:val="0"/>
          <w:sz w:val="20"/>
          <w:u w:val="single"/>
        </w:rPr>
        <w:t>Purchase Price Allocation</w:t>
      </w:r>
      <w:r w:rsidRPr="001703E6">
        <w:rPr>
          <w:b/>
          <w:sz w:val="20"/>
          <w:u w:val="single"/>
        </w:rPr>
        <w:t xml:space="preserve"> Schedule</w:t>
      </w:r>
      <w:r w:rsidRPr="001703E6">
        <w:rPr>
          <w:b/>
          <w:bCs/>
          <w:spacing w:val="0"/>
          <w:sz w:val="20"/>
        </w:rPr>
        <w:t>:</w:t>
      </w:r>
      <w:r w:rsidRPr="001703E6">
        <w:rPr>
          <w:spacing w:val="0"/>
          <w:sz w:val="20"/>
        </w:rPr>
        <w:t xml:space="preserve"> </w:t>
      </w:r>
      <w:r w:rsidRPr="001703E6">
        <w:rPr>
          <w:rStyle w:val="zGNormalChar"/>
        </w:rPr>
        <w:t>As defined in Section 2.3</w:t>
      </w:r>
      <w:r w:rsidRPr="001703E6" w:rsidR="00A05D10">
        <w:rPr>
          <w:rStyle w:val="zGNormalChar"/>
        </w:rPr>
        <w:t>.1</w:t>
      </w:r>
      <w:r w:rsidRPr="001703E6">
        <w:rPr>
          <w:rStyle w:val="zGNormalChar"/>
        </w:rPr>
        <w:t xml:space="preserve"> (</w:t>
      </w:r>
      <w:r w:rsidRPr="001703E6">
        <w:rPr>
          <w:rStyle w:val="zGNormalChar"/>
          <w:i/>
          <w:iCs/>
        </w:rPr>
        <w:t>Purchase Price</w:t>
      </w:r>
      <w:r w:rsidRPr="001703E6" w:rsidR="00A05D10">
        <w:rPr>
          <w:rStyle w:val="zGNormalChar"/>
          <w:i/>
          <w:iCs/>
        </w:rPr>
        <w:t xml:space="preserve"> Allocation Schedule</w:t>
      </w:r>
      <w:r w:rsidRPr="001703E6">
        <w:rPr>
          <w:rStyle w:val="zGNormalChar"/>
        </w:rPr>
        <w:t>).</w:t>
      </w:r>
    </w:p>
    <w:p w:rsidRPr="001703E6" w:rsidR="00E91BC6" w:rsidP="00B71D5E" w:rsidRDefault="00E91BC6" w14:paraId="5C315C59" w14:textId="6C01856C">
      <w:pPr>
        <w:pStyle w:val="zGNormalDefinition"/>
        <w:spacing w:before="120" w:after="120"/>
        <w:rPr>
          <w:spacing w:val="0"/>
          <w:sz w:val="20"/>
        </w:rPr>
      </w:pPr>
      <w:r w:rsidRPr="001703E6">
        <w:rPr>
          <w:b/>
          <w:bCs/>
          <w:spacing w:val="0"/>
          <w:sz w:val="20"/>
          <w:u w:val="single"/>
        </w:rPr>
        <w:t>PWA Guidance</w:t>
      </w:r>
      <w:r w:rsidRPr="001703E6">
        <w:rPr>
          <w:b/>
          <w:bCs/>
          <w:spacing w:val="0"/>
          <w:sz w:val="20"/>
        </w:rPr>
        <w:t>:</w:t>
      </w:r>
      <w:r w:rsidRPr="001703E6">
        <w:rPr>
          <w:spacing w:val="0"/>
          <w:sz w:val="20"/>
        </w:rPr>
        <w:t xml:space="preserve"> </w:t>
      </w:r>
      <w:r w:rsidRPr="001703E6">
        <w:rPr>
          <w:rStyle w:val="zGNormalChar"/>
        </w:rPr>
        <w:t xml:space="preserve">IRS Notice 2022-61 (November 29, 2022) and any further guidance issued by the Secretary of the U.S. Department of the Treasury (including any guidance issued by the IRS) under Sections 45(b)(7), 45Y(g)(9), 45(b)(8), 45Y(g)(10), 48(a)(10), 48E(d)(3), 48(a)(11), and 48E(d)(4) of the Code, </w:t>
      </w:r>
      <w:r w:rsidRPr="001703E6" w:rsidR="00333ECF">
        <w:rPr>
          <w:rStyle w:val="zGNormalChar"/>
        </w:rPr>
        <w:t>including all cross-references in those</w:t>
      </w:r>
      <w:r w:rsidRPr="001703E6" w:rsidR="00A647AF">
        <w:rPr>
          <w:rStyle w:val="zGNormalChar"/>
        </w:rPr>
        <w:t xml:space="preserve"> section</w:t>
      </w:r>
      <w:r w:rsidRPr="001703E6" w:rsidR="000E3CF5">
        <w:rPr>
          <w:rStyle w:val="zGNormalChar"/>
        </w:rPr>
        <w:t>s to other sections</w:t>
      </w:r>
      <w:r w:rsidRPr="001703E6">
        <w:rPr>
          <w:rStyle w:val="zGNormalChar"/>
        </w:rPr>
        <w:t xml:space="preserve"> of the Code.</w:t>
      </w:r>
    </w:p>
    <w:p w:rsidRPr="001703E6" w:rsidR="00E91BC6" w:rsidP="00B71D5E" w:rsidRDefault="00E91BC6" w14:paraId="6CB09A4C" w14:textId="77777777">
      <w:pPr>
        <w:pStyle w:val="zGNormalDefinition"/>
        <w:spacing w:before="120" w:after="120"/>
        <w:rPr>
          <w:spacing w:val="0"/>
          <w:sz w:val="20"/>
        </w:rPr>
      </w:pPr>
      <w:r w:rsidRPr="001703E6">
        <w:rPr>
          <w:b/>
          <w:bCs/>
          <w:spacing w:val="0"/>
          <w:sz w:val="20"/>
          <w:u w:val="single"/>
        </w:rPr>
        <w:t>PWA Requirements</w:t>
      </w:r>
      <w:r w:rsidRPr="001703E6">
        <w:rPr>
          <w:b/>
          <w:bCs/>
          <w:spacing w:val="0"/>
          <w:sz w:val="20"/>
        </w:rPr>
        <w:t>:</w:t>
      </w:r>
      <w:r w:rsidRPr="001703E6">
        <w:rPr>
          <w:spacing w:val="0"/>
          <w:sz w:val="20"/>
        </w:rPr>
        <w:t xml:space="preserve"> </w:t>
      </w:r>
      <w:r w:rsidRPr="001703E6">
        <w:rPr>
          <w:rStyle w:val="zGNormalChar"/>
        </w:rPr>
        <w:t>Collectively, the Prevailing Wage Requirements, and the Apprenticeship Requirements.</w:t>
      </w:r>
      <w:r w:rsidRPr="001703E6">
        <w:rPr>
          <w:spacing w:val="0"/>
          <w:sz w:val="20"/>
        </w:rPr>
        <w:t xml:space="preserve"> </w:t>
      </w:r>
    </w:p>
    <w:p w:rsidRPr="001703E6" w:rsidR="00983AD2" w:rsidP="00B71D5E" w:rsidRDefault="00983AD2" w14:paraId="4E1C38E4" w14:textId="77777777">
      <w:pPr>
        <w:pStyle w:val="zGNormalDefinition"/>
        <w:spacing w:before="120" w:after="120"/>
        <w:rPr>
          <w:spacing w:val="0"/>
          <w:sz w:val="20"/>
        </w:rPr>
      </w:pPr>
      <w:r w:rsidRPr="001703E6">
        <w:rPr>
          <w:b/>
          <w:bCs/>
          <w:spacing w:val="0"/>
          <w:sz w:val="20"/>
          <w:u w:val="single"/>
        </w:rPr>
        <w:t>Qualified Apprentice</w:t>
      </w:r>
      <w:r w:rsidRPr="001703E6">
        <w:rPr>
          <w:b/>
          <w:bCs/>
          <w:spacing w:val="0"/>
          <w:sz w:val="20"/>
        </w:rPr>
        <w:t>:</w:t>
      </w:r>
      <w:r w:rsidRPr="001703E6">
        <w:rPr>
          <w:spacing w:val="0"/>
          <w:sz w:val="20"/>
        </w:rPr>
        <w:t xml:space="preserve"> </w:t>
      </w:r>
      <w:r w:rsidRPr="001703E6">
        <w:rPr>
          <w:rStyle w:val="zGNormalChar"/>
        </w:rPr>
        <w:t>An individual who is employed by a contractor or subcontractor, and who is participating in a Registered Apprenticeship Program.</w:t>
      </w:r>
    </w:p>
    <w:p w:rsidRPr="001703E6" w:rsidR="00E334F9" w:rsidP="00B71D5E" w:rsidRDefault="00E334F9" w14:paraId="2BBF503B" w14:textId="77777777">
      <w:pPr>
        <w:pStyle w:val="zGNormalDefinition"/>
        <w:spacing w:before="120" w:after="120"/>
        <w:rPr>
          <w:b/>
          <w:bCs/>
          <w:spacing w:val="0"/>
          <w:sz w:val="20"/>
          <w:u w:val="single"/>
        </w:rPr>
      </w:pPr>
      <w:r w:rsidRPr="001703E6">
        <w:rPr>
          <w:b/>
          <w:bCs/>
          <w:spacing w:val="0"/>
          <w:sz w:val="20"/>
          <w:u w:val="single"/>
        </w:rPr>
        <w:t>Rating Agency</w:t>
      </w:r>
      <w:r w:rsidRPr="001703E6">
        <w:rPr>
          <w:b/>
          <w:bCs/>
          <w:spacing w:val="0"/>
          <w:sz w:val="20"/>
        </w:rPr>
        <w:t>:</w:t>
      </w:r>
      <w:r w:rsidRPr="001703E6">
        <w:rPr>
          <w:spacing w:val="0"/>
          <w:sz w:val="20"/>
        </w:rPr>
        <w:t xml:space="preserve"> </w:t>
      </w:r>
      <w:r w:rsidRPr="001703E6">
        <w:rPr>
          <w:rStyle w:val="zGNormalChar"/>
        </w:rPr>
        <w:t>The rating entities of S&amp;P, Moody’s, or Fitch. If any Rating Agency ceases to exist or publish ratings, the Rating Agency will be replaced with a nationally recognized rating agency mutually agreed upon by the Parties.</w:t>
      </w:r>
    </w:p>
    <w:p w:rsidRPr="001703E6" w:rsidR="0029492C" w:rsidP="00B71D5E" w:rsidRDefault="0029492C" w14:paraId="6575B342" w14:textId="77777777">
      <w:pPr>
        <w:pStyle w:val="zGNormalDefinition"/>
        <w:spacing w:before="120" w:after="120"/>
        <w:rPr>
          <w:spacing w:val="0"/>
          <w:sz w:val="20"/>
        </w:rPr>
      </w:pPr>
      <w:r w:rsidRPr="001703E6">
        <w:rPr>
          <w:b/>
          <w:bCs/>
          <w:spacing w:val="0"/>
          <w:sz w:val="20"/>
          <w:u w:val="single"/>
        </w:rPr>
        <w:t>Real Property Agreements</w:t>
      </w:r>
      <w:r w:rsidRPr="001703E6">
        <w:rPr>
          <w:b/>
          <w:bCs/>
          <w:spacing w:val="0"/>
          <w:sz w:val="20"/>
        </w:rPr>
        <w:t>:</w:t>
      </w:r>
      <w:r w:rsidRPr="001703E6">
        <w:rPr>
          <w:spacing w:val="0"/>
          <w:sz w:val="20"/>
        </w:rPr>
        <w:t xml:space="preserve"> </w:t>
      </w:r>
      <w:bookmarkStart w:name="_Hlk143872824" w:id="12"/>
      <w:r w:rsidRPr="001703E6">
        <w:rPr>
          <w:rStyle w:val="zGNormalChar"/>
        </w:rPr>
        <w:t xml:space="preserve">Any purchase and sale agreement, easement, lease, license, occupancy, right-of-way, concession, surface or encroachment agreement, setback waiver agreement, special use Permit, conditional use Permit, cross or co-location agreement, crossing agreement, buildout agreement, subordination and non-disturbance agreement, road user agreement, neighbor agreement, or other similar agreement to which Seller is a party, and pursuant to which Seller holds a fee interest, an easement, a leasehold or a </w:t>
      </w:r>
      <w:proofErr w:type="spellStart"/>
      <w:r w:rsidRPr="001703E6">
        <w:rPr>
          <w:rStyle w:val="zGNormalChar"/>
        </w:rPr>
        <w:t>subleasehold</w:t>
      </w:r>
      <w:proofErr w:type="spellEnd"/>
      <w:r w:rsidRPr="001703E6">
        <w:rPr>
          <w:rStyle w:val="zGNormalChar"/>
        </w:rPr>
        <w:t xml:space="preserve"> estate in or is granted the right to use or occupy any real property, including any option held by Seller</w:t>
      </w:r>
      <w:bookmarkEnd w:id="12"/>
      <w:r w:rsidRPr="001703E6">
        <w:rPr>
          <w:rStyle w:val="zGNormalChar"/>
        </w:rPr>
        <w:t xml:space="preserve"> relating to any of the foregoing.</w:t>
      </w:r>
    </w:p>
    <w:p w:rsidRPr="001703E6" w:rsidR="00707AFA" w:rsidP="00B71D5E" w:rsidRDefault="00707AFA" w14:paraId="6F6AE448" w14:textId="77777777">
      <w:pPr>
        <w:pStyle w:val="zGNormalDefinition"/>
        <w:spacing w:before="120" w:after="120"/>
        <w:rPr>
          <w:rStyle w:val="zGNormalChar"/>
        </w:rPr>
      </w:pPr>
      <w:bookmarkStart w:name="_Hlk144816563" w:id="13"/>
      <w:proofErr w:type="gramStart"/>
      <w:r w:rsidRPr="001703E6">
        <w:rPr>
          <w:b/>
          <w:bCs/>
          <w:sz w:val="20"/>
          <w:u w:val="single"/>
        </w:rPr>
        <w:t>RECs</w:t>
      </w:r>
      <w:proofErr w:type="gramEnd"/>
      <w:r w:rsidRPr="001703E6">
        <w:rPr>
          <w:b/>
          <w:bCs/>
          <w:spacing w:val="0"/>
          <w:sz w:val="20"/>
        </w:rPr>
        <w:t>:</w:t>
      </w:r>
      <w:r w:rsidRPr="001703E6">
        <w:rPr>
          <w:spacing w:val="0"/>
          <w:sz w:val="20"/>
        </w:rPr>
        <w:t xml:space="preserve"> </w:t>
      </w:r>
      <w:r w:rsidRPr="001703E6">
        <w:rPr>
          <w:rStyle w:val="zGNormalChar"/>
        </w:rPr>
        <w:t xml:space="preserve">See </w:t>
      </w:r>
      <w:r w:rsidRPr="001703E6">
        <w:rPr>
          <w:rStyle w:val="zGNormalChar"/>
          <w:i/>
          <w:iCs/>
        </w:rPr>
        <w:t>Renewable Energy Credits</w:t>
      </w:r>
      <w:r w:rsidRPr="001703E6">
        <w:rPr>
          <w:rStyle w:val="zGNormalChar"/>
        </w:rPr>
        <w:t>.</w:t>
      </w:r>
    </w:p>
    <w:bookmarkEnd w:id="13"/>
    <w:p w:rsidRPr="001703E6" w:rsidR="00E91BC6" w:rsidP="00B71D5E" w:rsidRDefault="00E91BC6" w14:paraId="72C4A147" w14:textId="77777777">
      <w:pPr>
        <w:pStyle w:val="zGNormalDefinition"/>
        <w:spacing w:before="120" w:after="120"/>
        <w:rPr>
          <w:spacing w:val="0"/>
          <w:sz w:val="20"/>
        </w:rPr>
      </w:pPr>
      <w:r w:rsidRPr="001703E6">
        <w:rPr>
          <w:b/>
          <w:bCs/>
          <w:spacing w:val="0"/>
          <w:sz w:val="20"/>
          <w:u w:val="single"/>
        </w:rPr>
        <w:t>Registered Apprenticeship Program</w:t>
      </w:r>
      <w:r w:rsidRPr="001703E6">
        <w:rPr>
          <w:b/>
          <w:bCs/>
          <w:spacing w:val="0"/>
          <w:sz w:val="20"/>
        </w:rPr>
        <w:t>:</w:t>
      </w:r>
      <w:r w:rsidRPr="001703E6">
        <w:rPr>
          <w:spacing w:val="0"/>
          <w:sz w:val="20"/>
        </w:rPr>
        <w:t xml:space="preserve"> </w:t>
      </w:r>
      <w:r w:rsidRPr="001703E6">
        <w:rPr>
          <w:rStyle w:val="zGNormalChar"/>
        </w:rPr>
        <w:t>As defined in Section 3131(e)(3)(B) of the Code and any PWA Guidance.</w:t>
      </w:r>
    </w:p>
    <w:p w:rsidRPr="001703E6" w:rsidR="0029492C" w:rsidP="00B71D5E" w:rsidRDefault="0029492C" w14:paraId="7C6C1C32" w14:textId="77777777">
      <w:pPr>
        <w:pStyle w:val="zGNormalDefinition"/>
        <w:spacing w:before="120" w:after="120"/>
        <w:rPr>
          <w:rStyle w:val="zGNormalChar"/>
        </w:rPr>
      </w:pPr>
      <w:r w:rsidRPr="001703E6">
        <w:rPr>
          <w:b/>
          <w:bCs/>
          <w:spacing w:val="0"/>
          <w:sz w:val="20"/>
          <w:u w:val="single"/>
        </w:rPr>
        <w:t>Release</w:t>
      </w:r>
      <w:r w:rsidRPr="001703E6">
        <w:rPr>
          <w:b/>
          <w:bCs/>
          <w:spacing w:val="0"/>
          <w:sz w:val="20"/>
        </w:rPr>
        <w:t>:</w:t>
      </w:r>
      <w:r w:rsidRPr="001703E6">
        <w:rPr>
          <w:spacing w:val="0"/>
          <w:sz w:val="20"/>
        </w:rPr>
        <w:t xml:space="preserve"> </w:t>
      </w:r>
      <w:r w:rsidRPr="001703E6">
        <w:rPr>
          <w:rStyle w:val="zGNormalChar"/>
        </w:rPr>
        <w:t>As defined in 42 U.S.C. § 9601(22), without regard to the exceptions set forth in clause (A) thereof.</w:t>
      </w:r>
    </w:p>
    <w:p w:rsidRPr="001703E6" w:rsidR="0029492C" w:rsidP="00B71D5E" w:rsidRDefault="0029492C" w14:paraId="5A82B0A9" w14:textId="77777777">
      <w:pPr>
        <w:pStyle w:val="zGNormalDefinition"/>
        <w:spacing w:before="120" w:after="120"/>
        <w:rPr>
          <w:spacing w:val="0"/>
          <w:sz w:val="20"/>
        </w:rPr>
      </w:pPr>
      <w:r w:rsidRPr="001703E6">
        <w:rPr>
          <w:b/>
          <w:bCs/>
          <w:spacing w:val="0"/>
          <w:sz w:val="20"/>
          <w:u w:val="single"/>
        </w:rPr>
        <w:t>Remediation</w:t>
      </w:r>
      <w:r w:rsidRPr="001703E6">
        <w:rPr>
          <w:b/>
          <w:bCs/>
          <w:spacing w:val="0"/>
          <w:sz w:val="20"/>
        </w:rPr>
        <w:t>:</w:t>
      </w:r>
      <w:r w:rsidRPr="001703E6">
        <w:rPr>
          <w:spacing w:val="0"/>
          <w:sz w:val="20"/>
        </w:rPr>
        <w:t xml:space="preserve"> </w:t>
      </w:r>
      <w:r w:rsidRPr="001703E6">
        <w:rPr>
          <w:rStyle w:val="zGNormalChar"/>
        </w:rPr>
        <w:t>Action required under any Environmental Law or by a Governmental Authority, or a Claim by a third party against an Indemnified GPC Party, in each case, to address an Environmental Condition, including any monitoring, investigation, assessment, characterization, treatment, cleanup, containment, removal, mitigation, response, or restoration work.</w:t>
      </w:r>
    </w:p>
    <w:p w:rsidRPr="001703E6" w:rsidR="005F0AF3" w:rsidP="00B71D5E" w:rsidRDefault="0029492C" w14:paraId="62C01F08" w14:textId="77777777">
      <w:pPr>
        <w:pStyle w:val="zGNormalDefinition"/>
        <w:spacing w:before="120" w:after="120"/>
        <w:rPr>
          <w:spacing w:val="0"/>
          <w:sz w:val="20"/>
        </w:rPr>
      </w:pPr>
      <w:r w:rsidRPr="001703E6">
        <w:rPr>
          <w:b/>
          <w:bCs/>
          <w:spacing w:val="0"/>
          <w:sz w:val="20"/>
          <w:u w:val="single"/>
        </w:rPr>
        <w:t>Remedies Exception</w:t>
      </w:r>
      <w:r w:rsidRPr="001703E6">
        <w:rPr>
          <w:b/>
          <w:bCs/>
          <w:spacing w:val="0"/>
          <w:sz w:val="20"/>
        </w:rPr>
        <w:t>:</w:t>
      </w:r>
      <w:r w:rsidRPr="001703E6">
        <w:rPr>
          <w:spacing w:val="0"/>
          <w:sz w:val="20"/>
        </w:rPr>
        <w:t xml:space="preserve"> </w:t>
      </w:r>
      <w:r w:rsidRPr="001703E6">
        <w:rPr>
          <w:rStyle w:val="zGNormalChar"/>
        </w:rPr>
        <w:t>The effects of bankruptcy, insolvency, fraudulent conveyance, reorganization, moratorium, and other laws relating to or affecting creditors’ rights generally and general equitable principles.</w:t>
      </w:r>
    </w:p>
    <w:p w:rsidRPr="001703E6" w:rsidR="00707AFA" w:rsidP="00B62EAE" w:rsidRDefault="00707AFA" w14:paraId="7F73555D" w14:textId="77777777">
      <w:pPr>
        <w:pStyle w:val="zGNormalDefinition"/>
        <w:rPr>
          <w:sz w:val="20"/>
          <w:u w:val="single"/>
        </w:rPr>
      </w:pPr>
      <w:bookmarkStart w:name="_Hlk144816596" w:id="14"/>
      <w:r w:rsidRPr="001703E6">
        <w:rPr>
          <w:b/>
          <w:bCs/>
          <w:sz w:val="20"/>
          <w:u w:val="single"/>
        </w:rPr>
        <w:t>Renewable Energy Credits (RECs)</w:t>
      </w:r>
      <w:r w:rsidRPr="001703E6">
        <w:rPr>
          <w:b/>
          <w:bCs/>
          <w:sz w:val="20"/>
        </w:rPr>
        <w:t>:</w:t>
      </w:r>
      <w:r w:rsidRPr="001703E6">
        <w:rPr>
          <w:sz w:val="20"/>
        </w:rPr>
        <w:t xml:space="preserve"> </w:t>
      </w:r>
      <w:r w:rsidRPr="001703E6">
        <w:rPr>
          <w:rStyle w:val="zGNormalChar"/>
        </w:rPr>
        <w:t>All credits, including any emissions reduction credits, such as CO2 emission reduction credits, for renewable energy that could qualify or do qualify for application toward compliance with any local, state, federal, or international renewable energy portfolio standard, green pricing program, or other renewable energy or environmental mandate or objective.</w:t>
      </w:r>
    </w:p>
    <w:p w:rsidRPr="001703E6" w:rsidR="00066AC0" w:rsidP="00B71D5E" w:rsidRDefault="00066AC0" w14:paraId="069EBA5D" w14:textId="77777777">
      <w:pPr>
        <w:pStyle w:val="zGNormalDefinition"/>
        <w:spacing w:before="120" w:after="120"/>
        <w:rPr>
          <w:spacing w:val="0"/>
          <w:sz w:val="20"/>
        </w:rPr>
      </w:pPr>
      <w:r w:rsidRPr="001703E6">
        <w:rPr>
          <w:b/>
          <w:bCs/>
          <w:iCs/>
          <w:spacing w:val="0"/>
          <w:sz w:val="20"/>
          <w:u w:val="single"/>
        </w:rPr>
        <w:t>Renewable Energy Incentives</w:t>
      </w:r>
      <w:r w:rsidRPr="001703E6">
        <w:rPr>
          <w:b/>
          <w:bCs/>
          <w:iCs/>
          <w:spacing w:val="0"/>
          <w:sz w:val="20"/>
        </w:rPr>
        <w:t>:</w:t>
      </w:r>
      <w:r w:rsidRPr="001703E6">
        <w:rPr>
          <w:spacing w:val="0"/>
          <w:sz w:val="20"/>
        </w:rPr>
        <w:t xml:space="preserve"> </w:t>
      </w:r>
      <w:r w:rsidRPr="001703E6">
        <w:rPr>
          <w:rStyle w:val="zGNormalChar"/>
        </w:rPr>
        <w:t>Any: (i) federal, state, or local tax credit or other tax benefit (such as accelerated depreciation or the ITC and PTC) associated with the construction or ownership of, or the sale or production of electricity from, the Facility, including any ITC, PTC, or governmental payment made in lieu of a credit; (ii) federal, state, or local grant, rebate, subsidized financing, or any other subsidy relating to the property of the Facility or the output of the Facility; or (iii) other form of incentive that is not an Environmental Attribute, and that is available with respect to the Facility.</w:t>
      </w:r>
    </w:p>
    <w:bookmarkEnd w:id="14"/>
    <w:p w:rsidRPr="001703E6" w:rsidR="005F0AF3" w:rsidP="00B71D5E" w:rsidRDefault="0029492C" w14:paraId="126032B7" w14:textId="77777777">
      <w:pPr>
        <w:pStyle w:val="zGNormalDefinition"/>
        <w:spacing w:before="120" w:after="120"/>
        <w:rPr>
          <w:rStyle w:val="zGNormalChar"/>
        </w:rPr>
      </w:pPr>
      <w:r w:rsidRPr="001703E6">
        <w:rPr>
          <w:b/>
          <w:bCs/>
          <w:spacing w:val="0"/>
          <w:sz w:val="20"/>
          <w:u w:val="single"/>
        </w:rPr>
        <w:t>Reports</w:t>
      </w:r>
      <w:r w:rsidRPr="001703E6">
        <w:rPr>
          <w:b/>
          <w:bCs/>
          <w:spacing w:val="0"/>
          <w:sz w:val="20"/>
        </w:rPr>
        <w:t>:</w:t>
      </w:r>
      <w:r w:rsidRPr="001703E6">
        <w:rPr>
          <w:spacing w:val="0"/>
          <w:sz w:val="20"/>
        </w:rPr>
        <w:t xml:space="preserve"> </w:t>
      </w:r>
      <w:r w:rsidRPr="001703E6">
        <w:rPr>
          <w:rStyle w:val="zGNormalChar"/>
        </w:rPr>
        <w:t xml:space="preserve">All third-party reports, studies, analyses, and tests and test reports (and all amendments and supplements) prepared for, or commissioned by, and delivered to, Seller or any of its Affiliates that relate to the Facility, including the Facility Assets or the Facility Real Property. Reports include Phase I (and Phase II, if applicable) environmental assessments, environmental impact studies, geotechnical studies, boundary and topography surveys, transportation studies, cultural resources studies, transmission or interconnection studies, including interconnection system impact studies, wildlife studies, studies or analysis of or reports on the environmental condition of the Facility Real Property, or </w:t>
      </w:r>
      <w:r w:rsidRPr="001703E6">
        <w:rPr>
          <w:rStyle w:val="zGNormalChar"/>
        </w:rPr>
        <w:lastRenderedPageBreak/>
        <w:t xml:space="preserve">compliance by the Facility or the Facility Real Property with Environmental Laws, Federal Aviation Administration analyses, state department of transportation analyses, zoning studies, visual impact studies, and wetlands studies, in each case, together with all necessary reliance letters and in form and substance reasonably acceptable to GPC, all as listed in Section 3.30 of the Seller Disclosure Schedule. </w:t>
      </w:r>
    </w:p>
    <w:p w:rsidRPr="001703E6" w:rsidR="0029492C" w:rsidP="00B71D5E" w:rsidRDefault="0029492C" w14:paraId="0F866169" w14:textId="77777777">
      <w:pPr>
        <w:pStyle w:val="zGNormalDefinition"/>
        <w:widowControl/>
        <w:spacing w:before="120" w:after="120"/>
        <w:rPr>
          <w:spacing w:val="0"/>
          <w:sz w:val="20"/>
        </w:rPr>
      </w:pPr>
      <w:r w:rsidRPr="001703E6">
        <w:rPr>
          <w:b/>
          <w:bCs/>
          <w:spacing w:val="0"/>
          <w:sz w:val="20"/>
          <w:u w:val="single"/>
        </w:rPr>
        <w:t>Representative</w:t>
      </w:r>
      <w:r w:rsidRPr="001703E6">
        <w:rPr>
          <w:b/>
          <w:bCs/>
          <w:spacing w:val="0"/>
          <w:sz w:val="20"/>
        </w:rPr>
        <w:t>:</w:t>
      </w:r>
      <w:r w:rsidRPr="001703E6">
        <w:rPr>
          <w:spacing w:val="0"/>
          <w:sz w:val="20"/>
        </w:rPr>
        <w:t xml:space="preserve"> </w:t>
      </w:r>
      <w:r w:rsidRPr="001703E6">
        <w:rPr>
          <w:rStyle w:val="zGNormalChar"/>
        </w:rPr>
        <w:t>When used regarding a Person, collectively or individually (as the context indicates), the Person, its Affiliates and any permitted successor or assign, and the directors, officers, representatives, consultants, attorneys, agents, bankers, insurers, financiers, accountants, contractors, or subcontractors, of each of them.</w:t>
      </w:r>
      <w:r w:rsidRPr="001703E6">
        <w:rPr>
          <w:spacing w:val="0"/>
          <w:sz w:val="20"/>
        </w:rPr>
        <w:t xml:space="preserve"> </w:t>
      </w:r>
    </w:p>
    <w:p w:rsidRPr="001703E6" w:rsidR="00D5468B" w:rsidP="00B71D5E" w:rsidRDefault="00D5468B" w14:paraId="3153C533" w14:textId="77777777">
      <w:pPr>
        <w:pStyle w:val="zGNormalDefinition"/>
        <w:widowControl/>
        <w:spacing w:before="120" w:after="120"/>
        <w:rPr>
          <w:spacing w:val="0"/>
          <w:sz w:val="20"/>
        </w:rPr>
      </w:pPr>
      <w:r w:rsidRPr="001703E6">
        <w:rPr>
          <w:b/>
          <w:bCs/>
          <w:spacing w:val="0"/>
          <w:sz w:val="20"/>
          <w:u w:val="single"/>
        </w:rPr>
        <w:t>Required Closing Date</w:t>
      </w:r>
      <w:r w:rsidRPr="001703E6">
        <w:rPr>
          <w:b/>
          <w:bCs/>
          <w:spacing w:val="0"/>
          <w:sz w:val="20"/>
        </w:rPr>
        <w:t>:</w:t>
      </w:r>
      <w:r w:rsidRPr="001703E6">
        <w:rPr>
          <w:spacing w:val="0"/>
          <w:sz w:val="20"/>
        </w:rPr>
        <w:t xml:space="preserve"> </w:t>
      </w:r>
      <w:r w:rsidRPr="001703E6">
        <w:rPr>
          <w:rStyle w:val="zGNormalChar"/>
        </w:rPr>
        <w:t>The required closing date specified in Exhibit A-1 (</w:t>
      </w:r>
      <w:r w:rsidRPr="001703E6">
        <w:rPr>
          <w:rStyle w:val="zGNormalChar"/>
          <w:i/>
          <w:iCs/>
        </w:rPr>
        <w:t>Facility Information and Additional Details</w:t>
      </w:r>
      <w:r w:rsidRPr="001703E6">
        <w:rPr>
          <w:rStyle w:val="zGNormalChar"/>
        </w:rPr>
        <w:t>).</w:t>
      </w:r>
    </w:p>
    <w:p w:rsidRPr="001703E6" w:rsidR="0085644A" w:rsidP="00B71D5E" w:rsidRDefault="0085644A" w14:paraId="75C0F703" w14:textId="77777777">
      <w:pPr>
        <w:pStyle w:val="zGNormalDefinition"/>
        <w:widowControl/>
        <w:spacing w:before="120" w:after="120"/>
        <w:rPr>
          <w:spacing w:val="0"/>
          <w:sz w:val="20"/>
        </w:rPr>
      </w:pPr>
      <w:r w:rsidRPr="001703E6">
        <w:rPr>
          <w:b/>
          <w:bCs/>
          <w:spacing w:val="0"/>
          <w:sz w:val="20"/>
          <w:u w:val="single"/>
        </w:rPr>
        <w:t>Required Regulatory Approvals</w:t>
      </w:r>
      <w:r w:rsidRPr="001703E6">
        <w:rPr>
          <w:b/>
          <w:bCs/>
          <w:spacing w:val="0"/>
          <w:sz w:val="20"/>
        </w:rPr>
        <w:t>:</w:t>
      </w:r>
      <w:r w:rsidRPr="001703E6">
        <w:rPr>
          <w:spacing w:val="0"/>
          <w:sz w:val="20"/>
        </w:rPr>
        <w:t xml:space="preserve"> </w:t>
      </w:r>
      <w:r w:rsidRPr="001703E6">
        <w:rPr>
          <w:rStyle w:val="zGNormalChar"/>
        </w:rPr>
        <w:t>Collectively, the following, each without any Burdensome Condition: (i) HSR Approval; (ii) FERC Approval; (iii) FCC Approval; and (iv) Commission Certificate.</w:t>
      </w:r>
    </w:p>
    <w:p w:rsidRPr="001703E6" w:rsidR="000D20F9" w:rsidP="000D20F9" w:rsidRDefault="000D20F9" w14:paraId="06D124DB" w14:textId="77777777">
      <w:pPr>
        <w:pStyle w:val="zGNormalDefinition"/>
        <w:rPr>
          <w:sz w:val="20"/>
        </w:rPr>
      </w:pPr>
      <w:r w:rsidRPr="001703E6">
        <w:rPr>
          <w:b/>
          <w:bCs/>
          <w:sz w:val="20"/>
          <w:u w:val="single"/>
        </w:rPr>
        <w:t>Resource Data</w:t>
      </w:r>
      <w:r w:rsidRPr="001703E6">
        <w:rPr>
          <w:b/>
          <w:bCs/>
          <w:sz w:val="20"/>
        </w:rPr>
        <w:t>:</w:t>
      </w:r>
      <w:r w:rsidRPr="001703E6">
        <w:rPr>
          <w:sz w:val="20"/>
        </w:rPr>
        <w:t xml:space="preserve"> </w:t>
      </w:r>
      <w:r w:rsidRPr="001703E6">
        <w:rPr>
          <w:rStyle w:val="zGNormalChar"/>
        </w:rPr>
        <w:t>All forms of technical and operational information, documents, and materials essential for the design, construction, commissioning, testing, and operation of the facility, including site analysis records, engineering drawings and schematics, specifications, performance data, environmental impact assessments, regulatory approvals and compliance documentation, grid connection data, and maintenance protocols.</w:t>
      </w:r>
    </w:p>
    <w:p w:rsidRPr="001703E6" w:rsidR="00AF1A97" w:rsidP="00AF1A97" w:rsidRDefault="00AF1A97" w14:paraId="207F954A" w14:textId="77777777">
      <w:pPr>
        <w:pStyle w:val="zGNormalDefinition"/>
        <w:spacing w:before="120" w:after="120"/>
        <w:rPr>
          <w:spacing w:val="0"/>
          <w:sz w:val="20"/>
        </w:rPr>
      </w:pPr>
      <w:r w:rsidRPr="001703E6">
        <w:rPr>
          <w:b/>
          <w:bCs/>
          <w:sz w:val="20"/>
          <w:u w:val="single"/>
        </w:rPr>
        <w:t>Restoration Costs</w:t>
      </w:r>
      <w:r w:rsidRPr="001703E6">
        <w:rPr>
          <w:b/>
          <w:bCs/>
          <w:spacing w:val="0"/>
          <w:sz w:val="20"/>
        </w:rPr>
        <w:t>:</w:t>
      </w:r>
      <w:r w:rsidRPr="001703E6">
        <w:rPr>
          <w:spacing w:val="0"/>
          <w:sz w:val="20"/>
        </w:rPr>
        <w:t xml:space="preserve"> </w:t>
      </w:r>
      <w:r w:rsidRPr="001703E6">
        <w:rPr>
          <w:rStyle w:val="zGNormalChar"/>
        </w:rPr>
        <w:t>As defined in Section 5.17.1 (</w:t>
      </w:r>
      <w:r w:rsidRPr="001703E6">
        <w:rPr>
          <w:rStyle w:val="zGNormalChar"/>
          <w:i/>
          <w:iCs/>
        </w:rPr>
        <w:t>Occurrence of Casualty Loss</w:t>
      </w:r>
      <w:r w:rsidRPr="001703E6">
        <w:rPr>
          <w:rStyle w:val="zGNormalChar"/>
        </w:rPr>
        <w:t>).</w:t>
      </w:r>
    </w:p>
    <w:p w:rsidRPr="001703E6" w:rsidR="00AF1A97" w:rsidP="00AF1A97" w:rsidRDefault="00AF1A97" w14:paraId="598F0668" w14:textId="77777777">
      <w:pPr>
        <w:pStyle w:val="zGNormalDefinition"/>
        <w:spacing w:before="120" w:after="120"/>
        <w:rPr>
          <w:spacing w:val="0"/>
          <w:sz w:val="20"/>
        </w:rPr>
      </w:pPr>
      <w:r w:rsidRPr="001703E6">
        <w:rPr>
          <w:b/>
          <w:bCs/>
          <w:spacing w:val="0"/>
          <w:sz w:val="20"/>
          <w:u w:val="single"/>
        </w:rPr>
        <w:t>Restricted Employee</w:t>
      </w:r>
      <w:r w:rsidRPr="001703E6">
        <w:rPr>
          <w:b/>
          <w:bCs/>
          <w:spacing w:val="0"/>
          <w:sz w:val="20"/>
        </w:rPr>
        <w:t>:</w:t>
      </w:r>
      <w:r w:rsidRPr="001703E6">
        <w:rPr>
          <w:spacing w:val="0"/>
          <w:sz w:val="20"/>
        </w:rPr>
        <w:t xml:space="preserve"> </w:t>
      </w:r>
      <w:r w:rsidRPr="001703E6">
        <w:rPr>
          <w:rStyle w:val="zGNormalChar"/>
        </w:rPr>
        <w:t>As defined in Section 5.20.3 (</w:t>
      </w:r>
      <w:r w:rsidRPr="001703E6">
        <w:rPr>
          <w:rStyle w:val="zGNormalChar"/>
          <w:i/>
          <w:iCs/>
        </w:rPr>
        <w:t>Non-Solicitation</w:t>
      </w:r>
      <w:r w:rsidRPr="001703E6">
        <w:rPr>
          <w:rStyle w:val="zGNormalChar"/>
        </w:rPr>
        <w:t>).</w:t>
      </w:r>
    </w:p>
    <w:p w:rsidRPr="001703E6" w:rsidR="00AF1A97" w:rsidP="00AF1A97" w:rsidRDefault="00AF1A97" w14:paraId="5EF5AB68" w14:textId="77777777">
      <w:pPr>
        <w:pStyle w:val="zGNormalDefinition"/>
        <w:spacing w:before="120" w:after="120"/>
        <w:rPr>
          <w:spacing w:val="0"/>
          <w:sz w:val="20"/>
        </w:rPr>
      </w:pPr>
      <w:r w:rsidRPr="001703E6">
        <w:rPr>
          <w:b/>
          <w:bCs/>
          <w:spacing w:val="0"/>
          <w:sz w:val="20"/>
          <w:u w:val="single"/>
        </w:rPr>
        <w:t>Restricted Period</w:t>
      </w:r>
      <w:r w:rsidRPr="001703E6">
        <w:rPr>
          <w:b/>
          <w:bCs/>
          <w:spacing w:val="0"/>
          <w:sz w:val="20"/>
        </w:rPr>
        <w:t>:</w:t>
      </w:r>
      <w:r w:rsidRPr="001703E6">
        <w:rPr>
          <w:spacing w:val="0"/>
          <w:sz w:val="20"/>
        </w:rPr>
        <w:t xml:space="preserve"> </w:t>
      </w:r>
      <w:r w:rsidRPr="001703E6">
        <w:rPr>
          <w:rStyle w:val="zGNormalChar"/>
        </w:rPr>
        <w:t>As defined in Section 5.20.3 (</w:t>
      </w:r>
      <w:r w:rsidRPr="001703E6">
        <w:rPr>
          <w:rStyle w:val="zGNormalChar"/>
          <w:i/>
          <w:iCs/>
        </w:rPr>
        <w:t>Non-Solicitation</w:t>
      </w:r>
      <w:r w:rsidRPr="001703E6">
        <w:rPr>
          <w:rStyle w:val="zGNormalChar"/>
        </w:rPr>
        <w:t>).</w:t>
      </w:r>
    </w:p>
    <w:p w:rsidRPr="001703E6" w:rsidR="00AF1A97" w:rsidP="00AF1A97" w:rsidRDefault="00AF1A97" w14:paraId="11BD96A4" w14:textId="77777777">
      <w:pPr>
        <w:pStyle w:val="zGNormalDefinition"/>
        <w:spacing w:before="120" w:after="120"/>
        <w:rPr>
          <w:spacing w:val="0"/>
          <w:sz w:val="20"/>
        </w:rPr>
      </w:pPr>
      <w:r w:rsidRPr="001703E6">
        <w:rPr>
          <w:b/>
          <w:bCs/>
          <w:spacing w:val="0"/>
          <w:sz w:val="20"/>
          <w:u w:val="single"/>
        </w:rPr>
        <w:t>Review Period</w:t>
      </w:r>
      <w:r w:rsidRPr="001703E6">
        <w:rPr>
          <w:b/>
          <w:bCs/>
          <w:spacing w:val="0"/>
          <w:sz w:val="20"/>
        </w:rPr>
        <w:t>:</w:t>
      </w:r>
      <w:r w:rsidRPr="001703E6">
        <w:rPr>
          <w:spacing w:val="0"/>
          <w:sz w:val="20"/>
        </w:rPr>
        <w:t xml:space="preserve"> </w:t>
      </w:r>
      <w:r w:rsidRPr="001703E6">
        <w:rPr>
          <w:rStyle w:val="zGNormalChar"/>
        </w:rPr>
        <w:t>As defined in Section 2.2.3(i) (</w:t>
      </w:r>
      <w:r w:rsidRPr="001703E6">
        <w:rPr>
          <w:rStyle w:val="zGNormalChar"/>
          <w:i/>
          <w:iCs/>
        </w:rPr>
        <w:t>Objection Notice and Review Period</w:t>
      </w:r>
      <w:r w:rsidRPr="001703E6">
        <w:rPr>
          <w:rStyle w:val="zGNormalChar"/>
        </w:rPr>
        <w:t>).</w:t>
      </w:r>
    </w:p>
    <w:p w:rsidRPr="001703E6" w:rsidR="00155E27" w:rsidP="00B62EAE" w:rsidRDefault="00155E27" w14:paraId="3148CD99" w14:textId="77777777">
      <w:pPr>
        <w:pStyle w:val="zGNormalDefinition"/>
        <w:rPr>
          <w:rStyle w:val="zGNormalChar"/>
        </w:rPr>
      </w:pPr>
      <w:r w:rsidRPr="001703E6">
        <w:rPr>
          <w:b/>
          <w:bCs/>
          <w:sz w:val="20"/>
          <w:u w:val="single"/>
        </w:rPr>
        <w:t>Scheduled Outage</w:t>
      </w:r>
      <w:r w:rsidRPr="001703E6">
        <w:rPr>
          <w:b/>
          <w:bCs/>
          <w:sz w:val="20"/>
        </w:rPr>
        <w:t xml:space="preserve">: </w:t>
      </w:r>
      <w:r w:rsidRPr="001703E6">
        <w:rPr>
          <w:rStyle w:val="zGNormalChar"/>
        </w:rPr>
        <w:t xml:space="preserve">A scheduled interruption: (i) of a portion or </w:t>
      </w:r>
      <w:proofErr w:type="gramStart"/>
      <w:r w:rsidRPr="001703E6">
        <w:rPr>
          <w:rStyle w:val="zGNormalChar"/>
        </w:rPr>
        <w:t>all of</w:t>
      </w:r>
      <w:proofErr w:type="gramEnd"/>
      <w:r w:rsidRPr="001703E6">
        <w:rPr>
          <w:rStyle w:val="zGNormalChar"/>
        </w:rPr>
        <w:t xml:space="preserve"> the Facility’s generation capability that is scheduled in Seller’s Maintenance Schedule, or any outage agreed upon by GPC and Seller to be added to Seller’s Maintenance Schedule; and (ii) that will occur before or after the Closing.</w:t>
      </w:r>
    </w:p>
    <w:p w:rsidRPr="001703E6" w:rsidR="00AF1A97" w:rsidP="00AF1A97" w:rsidRDefault="00AF1A97" w14:paraId="51042D04" w14:textId="77777777">
      <w:pPr>
        <w:pStyle w:val="zGNormalDefinition"/>
        <w:spacing w:before="120" w:after="120"/>
        <w:rPr>
          <w:b/>
          <w:bCs/>
          <w:spacing w:val="0"/>
          <w:sz w:val="20"/>
          <w:u w:val="single"/>
        </w:rPr>
      </w:pPr>
      <w:r w:rsidRPr="001703E6">
        <w:rPr>
          <w:b/>
          <w:bCs/>
          <w:sz w:val="20"/>
          <w:u w:val="single"/>
        </w:rPr>
        <w:t>Schedule Update</w:t>
      </w:r>
      <w:r w:rsidRPr="001703E6">
        <w:rPr>
          <w:b/>
          <w:bCs/>
          <w:spacing w:val="0"/>
          <w:sz w:val="20"/>
        </w:rPr>
        <w:t>:</w:t>
      </w:r>
      <w:r w:rsidRPr="001703E6">
        <w:rPr>
          <w:spacing w:val="0"/>
          <w:sz w:val="20"/>
        </w:rPr>
        <w:t xml:space="preserve"> </w:t>
      </w:r>
      <w:r w:rsidRPr="001703E6">
        <w:rPr>
          <w:rStyle w:val="zGNormalChar"/>
        </w:rPr>
        <w:t>As defined in Section 5.18.1 (</w:t>
      </w:r>
      <w:r w:rsidRPr="001703E6">
        <w:rPr>
          <w:rStyle w:val="zGNormalChar"/>
          <w:i/>
          <w:iCs/>
        </w:rPr>
        <w:t>Schedule Updates</w:t>
      </w:r>
      <w:r w:rsidRPr="001703E6">
        <w:rPr>
          <w:rStyle w:val="zGNormalChar"/>
        </w:rPr>
        <w:t>).</w:t>
      </w:r>
    </w:p>
    <w:p w:rsidRPr="001703E6" w:rsidR="0029492C" w:rsidP="00B71D5E" w:rsidRDefault="0029492C" w14:paraId="283FC267" w14:textId="77777777">
      <w:pPr>
        <w:pStyle w:val="zGNormalDefinition"/>
        <w:spacing w:before="120" w:after="120"/>
        <w:rPr>
          <w:spacing w:val="0"/>
          <w:sz w:val="20"/>
        </w:rPr>
      </w:pPr>
      <w:r w:rsidRPr="001703E6">
        <w:rPr>
          <w:b/>
          <w:bCs/>
          <w:spacing w:val="0"/>
          <w:sz w:val="20"/>
          <w:u w:val="single"/>
        </w:rPr>
        <w:t>Securities Act</w:t>
      </w:r>
      <w:r w:rsidRPr="001703E6">
        <w:rPr>
          <w:b/>
          <w:bCs/>
          <w:spacing w:val="0"/>
          <w:sz w:val="20"/>
        </w:rPr>
        <w:t>:</w:t>
      </w:r>
      <w:r w:rsidRPr="001703E6">
        <w:rPr>
          <w:spacing w:val="0"/>
          <w:sz w:val="20"/>
        </w:rPr>
        <w:t xml:space="preserve"> </w:t>
      </w:r>
      <w:r w:rsidRPr="001703E6">
        <w:rPr>
          <w:rStyle w:val="zGNormalChar"/>
        </w:rPr>
        <w:t>The Securities Act of 1933.</w:t>
      </w:r>
    </w:p>
    <w:p w:rsidRPr="001703E6" w:rsidR="00B71D5E" w:rsidP="00B62EAE" w:rsidRDefault="00B71D5E" w14:paraId="3111BBFD" w14:textId="258B47CA">
      <w:pPr>
        <w:pStyle w:val="zGNormalDefinition"/>
        <w:rPr>
          <w:b/>
          <w:bCs/>
          <w:sz w:val="20"/>
          <w:u w:val="single"/>
        </w:rPr>
      </w:pPr>
      <w:r w:rsidRPr="001703E6">
        <w:rPr>
          <w:b/>
          <w:bCs/>
          <w:sz w:val="20"/>
          <w:u w:val="single"/>
        </w:rPr>
        <w:t>Security Account</w:t>
      </w:r>
      <w:r w:rsidRPr="001703E6">
        <w:rPr>
          <w:b/>
          <w:bCs/>
          <w:sz w:val="20"/>
        </w:rPr>
        <w:t>:</w:t>
      </w:r>
      <w:r w:rsidRPr="001703E6">
        <w:rPr>
          <w:sz w:val="20"/>
        </w:rPr>
        <w:t xml:space="preserve"> </w:t>
      </w:r>
      <w:r w:rsidRPr="001703E6">
        <w:rPr>
          <w:rStyle w:val="zGNormalChar"/>
        </w:rPr>
        <w:t xml:space="preserve">An account designated by GPC for the benefit of GPC, under the exclusive control of GPC, and free of any </w:t>
      </w:r>
      <w:proofErr w:type="gramStart"/>
      <w:r w:rsidRPr="001703E6">
        <w:rPr>
          <w:rStyle w:val="zGNormalChar"/>
        </w:rPr>
        <w:t>lien</w:t>
      </w:r>
      <w:proofErr w:type="gramEnd"/>
      <w:r w:rsidRPr="001703E6">
        <w:rPr>
          <w:rStyle w:val="zGNormalChar"/>
        </w:rPr>
        <w:t xml:space="preserve"> (including the </w:t>
      </w:r>
      <w:proofErr w:type="gramStart"/>
      <w:r w:rsidRPr="001703E6">
        <w:rPr>
          <w:rStyle w:val="zGNormalChar"/>
        </w:rPr>
        <w:t>lien</w:t>
      </w:r>
      <w:proofErr w:type="gramEnd"/>
      <w:r w:rsidRPr="001703E6">
        <w:rPr>
          <w:rStyle w:val="zGNormalChar"/>
        </w:rPr>
        <w:t xml:space="preserve"> of any lender) of any Person or entity other than GPC. Any Security Account will be established and maintained at the expense of Seller and held by a depository bank acceptable to GPC under a control agreement in form and substance acceptable to GPC.</w:t>
      </w:r>
    </w:p>
    <w:p w:rsidRPr="001703E6" w:rsidR="00701B42" w:rsidP="00B62EAE" w:rsidRDefault="0029492C" w14:paraId="1065B932" w14:textId="77777777">
      <w:pPr>
        <w:pStyle w:val="zGNormalDefinition"/>
        <w:rPr>
          <w:sz w:val="20"/>
        </w:rPr>
      </w:pPr>
      <w:r w:rsidRPr="001703E6">
        <w:rPr>
          <w:b/>
          <w:bCs/>
          <w:sz w:val="20"/>
          <w:u w:val="single"/>
        </w:rPr>
        <w:t>Seller</w:t>
      </w:r>
      <w:r w:rsidRPr="001703E6">
        <w:rPr>
          <w:b/>
          <w:bCs/>
          <w:sz w:val="20"/>
        </w:rPr>
        <w:t>:</w:t>
      </w:r>
      <w:r w:rsidRPr="001703E6">
        <w:rPr>
          <w:sz w:val="20"/>
        </w:rPr>
        <w:t xml:space="preserve"> </w:t>
      </w:r>
      <w:r w:rsidRPr="001703E6">
        <w:rPr>
          <w:rStyle w:val="zGNormalChar"/>
        </w:rPr>
        <w:t>The counterparty to GPC in this APA.</w:t>
      </w:r>
    </w:p>
    <w:p w:rsidRPr="001703E6" w:rsidR="0029492C" w:rsidP="00B71D5E" w:rsidRDefault="0029492C" w14:paraId="297E764D" w14:textId="026D0849">
      <w:pPr>
        <w:pStyle w:val="zGNormalDefinition"/>
        <w:spacing w:before="120" w:after="120"/>
        <w:rPr>
          <w:spacing w:val="0"/>
          <w:sz w:val="20"/>
        </w:rPr>
      </w:pPr>
      <w:bookmarkStart w:name="_Hlk139898556" w:id="15"/>
      <w:r w:rsidRPr="001703E6">
        <w:rPr>
          <w:b/>
          <w:bCs/>
          <w:spacing w:val="0"/>
          <w:sz w:val="20"/>
          <w:u w:val="single"/>
        </w:rPr>
        <w:t>Seller Closing Certificate</w:t>
      </w:r>
      <w:r w:rsidRPr="001703E6">
        <w:rPr>
          <w:b/>
          <w:bCs/>
          <w:spacing w:val="0"/>
          <w:sz w:val="20"/>
        </w:rPr>
        <w:t>:</w:t>
      </w:r>
      <w:r w:rsidRPr="001703E6">
        <w:rPr>
          <w:spacing w:val="0"/>
          <w:sz w:val="20"/>
        </w:rPr>
        <w:t xml:space="preserve"> </w:t>
      </w:r>
      <w:r w:rsidRPr="001703E6">
        <w:rPr>
          <w:rStyle w:val="zGNormalChar"/>
        </w:rPr>
        <w:t>As defined in Section 6.2.4(</w:t>
      </w:r>
      <w:r w:rsidR="00C93608">
        <w:rPr>
          <w:rStyle w:val="zGNormalChar"/>
        </w:rPr>
        <w:t>i</w:t>
      </w:r>
      <w:r w:rsidRPr="001703E6">
        <w:rPr>
          <w:rStyle w:val="zGNormalChar"/>
        </w:rPr>
        <w:t>v) (</w:t>
      </w:r>
      <w:r w:rsidRPr="001703E6">
        <w:rPr>
          <w:rStyle w:val="zGNormalChar"/>
          <w:i/>
          <w:iCs/>
        </w:rPr>
        <w:t>Seller Closing Deliveries</w:t>
      </w:r>
      <w:r w:rsidRPr="001703E6">
        <w:rPr>
          <w:rStyle w:val="zGNormalChar"/>
        </w:rPr>
        <w:t>).</w:t>
      </w:r>
    </w:p>
    <w:bookmarkEnd w:id="15"/>
    <w:p w:rsidRPr="001703E6" w:rsidR="0029492C" w:rsidP="00B71D5E" w:rsidRDefault="0029492C" w14:paraId="738D3838" w14:textId="12549F7E">
      <w:pPr>
        <w:pStyle w:val="zGNormalDefinition"/>
        <w:spacing w:before="120" w:after="120"/>
        <w:rPr>
          <w:spacing w:val="0"/>
          <w:sz w:val="20"/>
        </w:rPr>
      </w:pPr>
      <w:r w:rsidRPr="001703E6">
        <w:rPr>
          <w:b/>
          <w:bCs/>
          <w:spacing w:val="0"/>
          <w:sz w:val="20"/>
          <w:u w:val="single"/>
        </w:rPr>
        <w:t>Seller Disclosure Schedule</w:t>
      </w:r>
      <w:r w:rsidRPr="001703E6">
        <w:rPr>
          <w:b/>
          <w:bCs/>
          <w:spacing w:val="0"/>
          <w:sz w:val="20"/>
        </w:rPr>
        <w:t>:</w:t>
      </w:r>
      <w:r w:rsidRPr="001703E6">
        <w:rPr>
          <w:spacing w:val="0"/>
          <w:sz w:val="20"/>
        </w:rPr>
        <w:t xml:space="preserve"> </w:t>
      </w:r>
      <w:r w:rsidRPr="001703E6">
        <w:rPr>
          <w:rStyle w:val="zGNormalChar"/>
        </w:rPr>
        <w:t xml:space="preserve">The attached disclosure schedule delivered by Seller to GPC on the </w:t>
      </w:r>
      <w:r w:rsidRPr="001703E6" w:rsidR="0002052C">
        <w:rPr>
          <w:rStyle w:val="zGNormalChar"/>
        </w:rPr>
        <w:t>Effective Date.</w:t>
      </w:r>
    </w:p>
    <w:p w:rsidRPr="001703E6" w:rsidR="0029492C" w:rsidP="00B71D5E" w:rsidRDefault="0029492C" w14:paraId="0BB2AACB" w14:textId="77777777">
      <w:pPr>
        <w:pStyle w:val="zGNormalDefinition"/>
        <w:spacing w:before="120" w:after="120"/>
        <w:rPr>
          <w:spacing w:val="0"/>
          <w:sz w:val="20"/>
        </w:rPr>
      </w:pPr>
      <w:r w:rsidRPr="001703E6">
        <w:rPr>
          <w:b/>
          <w:bCs/>
          <w:spacing w:val="0"/>
          <w:sz w:val="20"/>
          <w:u w:val="single"/>
        </w:rPr>
        <w:t>Seller Fundamental Representations</w:t>
      </w:r>
      <w:r w:rsidRPr="001703E6">
        <w:rPr>
          <w:b/>
          <w:bCs/>
          <w:spacing w:val="0"/>
          <w:sz w:val="20"/>
        </w:rPr>
        <w:t xml:space="preserve">: </w:t>
      </w:r>
      <w:r w:rsidRPr="001703E6">
        <w:rPr>
          <w:rStyle w:val="zGNormalChar"/>
        </w:rPr>
        <w:t>The representations and warranties set forth in Section 3.1 (</w:t>
      </w:r>
      <w:r w:rsidRPr="001703E6">
        <w:rPr>
          <w:rStyle w:val="zGNormalChar"/>
          <w:i/>
          <w:iCs/>
        </w:rPr>
        <w:t>Organization; Existence; Limited Purpose</w:t>
      </w:r>
      <w:r w:rsidRPr="001703E6">
        <w:rPr>
          <w:rStyle w:val="zGNormalChar"/>
        </w:rPr>
        <w:t>), Section 3.2 (</w:t>
      </w:r>
      <w:r w:rsidRPr="001703E6">
        <w:rPr>
          <w:rStyle w:val="zGNormalChar"/>
          <w:i/>
          <w:iCs/>
        </w:rPr>
        <w:t>Authorization; Enforceability</w:t>
      </w:r>
      <w:r w:rsidRPr="001703E6">
        <w:rPr>
          <w:rStyle w:val="zGNormalChar"/>
        </w:rPr>
        <w:t>), Section 3.10 (</w:t>
      </w:r>
      <w:r w:rsidRPr="001703E6">
        <w:rPr>
          <w:rStyle w:val="zGNormalChar"/>
          <w:i/>
          <w:iCs/>
        </w:rPr>
        <w:t>Environmental Matters</w:t>
      </w:r>
      <w:r w:rsidRPr="001703E6">
        <w:rPr>
          <w:rStyle w:val="zGNormalChar"/>
        </w:rPr>
        <w:t>), Section 3.12.3 (</w:t>
      </w:r>
      <w:r w:rsidRPr="001703E6">
        <w:rPr>
          <w:rStyle w:val="zGNormalChar"/>
          <w:i/>
          <w:iCs/>
        </w:rPr>
        <w:t>Title; Real Property Agreements</w:t>
      </w:r>
      <w:r w:rsidRPr="001703E6">
        <w:rPr>
          <w:rStyle w:val="zGNormalChar"/>
        </w:rPr>
        <w:t>), Section 3.13 (</w:t>
      </w:r>
      <w:r w:rsidRPr="001703E6">
        <w:rPr>
          <w:rStyle w:val="zGNormalChar"/>
          <w:i/>
          <w:iCs/>
        </w:rPr>
        <w:t>Title to Facility Assets</w:t>
      </w:r>
      <w:r w:rsidRPr="001703E6">
        <w:rPr>
          <w:rStyle w:val="zGNormalChar"/>
        </w:rPr>
        <w:t>), Section 3.18 (</w:t>
      </w:r>
      <w:r w:rsidRPr="001703E6">
        <w:rPr>
          <w:rStyle w:val="zGNormalChar"/>
          <w:i/>
          <w:iCs/>
        </w:rPr>
        <w:t>Taxes</w:t>
      </w:r>
      <w:r w:rsidRPr="001703E6">
        <w:rPr>
          <w:rStyle w:val="zGNormalChar"/>
        </w:rPr>
        <w:t>), Section 3.27 (</w:t>
      </w:r>
      <w:r w:rsidRPr="001703E6">
        <w:rPr>
          <w:rStyle w:val="zGNormalChar"/>
          <w:i/>
          <w:iCs/>
        </w:rPr>
        <w:t>Brokers</w:t>
      </w:r>
      <w:r w:rsidRPr="001703E6">
        <w:rPr>
          <w:rStyle w:val="zGNormalChar"/>
        </w:rPr>
        <w:t>), Section 3.28 (</w:t>
      </w:r>
      <w:r w:rsidRPr="001703E6">
        <w:rPr>
          <w:rStyle w:val="zGNormalChar"/>
          <w:i/>
          <w:iCs/>
        </w:rPr>
        <w:t>Development Fees</w:t>
      </w:r>
      <w:r w:rsidRPr="001703E6">
        <w:rPr>
          <w:rStyle w:val="zGNormalChar"/>
        </w:rPr>
        <w:t>), and Section 3.33 (</w:t>
      </w:r>
      <w:r w:rsidRPr="001703E6">
        <w:rPr>
          <w:rStyle w:val="zGNormalChar"/>
          <w:i/>
          <w:iCs/>
        </w:rPr>
        <w:t>Bankruptcy; Insolvency</w:t>
      </w:r>
      <w:r w:rsidRPr="001703E6">
        <w:rPr>
          <w:rStyle w:val="zGNormalChar"/>
        </w:rPr>
        <w:t>).</w:t>
      </w:r>
    </w:p>
    <w:p w:rsidRPr="001703E6" w:rsidR="0029492C" w:rsidP="00B71D5E" w:rsidRDefault="0029492C" w14:paraId="604ED754" w14:textId="77777777">
      <w:pPr>
        <w:pStyle w:val="zGNormalDefinition"/>
        <w:spacing w:before="120" w:after="120"/>
        <w:rPr>
          <w:spacing w:val="0"/>
          <w:sz w:val="20"/>
        </w:rPr>
      </w:pPr>
      <w:r w:rsidRPr="001703E6">
        <w:rPr>
          <w:b/>
          <w:bCs/>
          <w:spacing w:val="0"/>
          <w:sz w:val="20"/>
          <w:u w:val="single"/>
        </w:rPr>
        <w:t>Seller Guarantor</w:t>
      </w:r>
      <w:r w:rsidRPr="001703E6">
        <w:rPr>
          <w:b/>
          <w:bCs/>
          <w:spacing w:val="0"/>
          <w:sz w:val="20"/>
        </w:rPr>
        <w:t>:</w:t>
      </w:r>
      <w:r w:rsidRPr="001703E6">
        <w:rPr>
          <w:spacing w:val="0"/>
          <w:sz w:val="20"/>
        </w:rPr>
        <w:t xml:space="preserve"> </w:t>
      </w:r>
      <w:r w:rsidRPr="001703E6">
        <w:rPr>
          <w:rStyle w:val="zGNormalChar"/>
        </w:rPr>
        <w:t>A Person that: (i) is either: (a) an Affiliate of Seller; or (b) otherwise an entity acceptable to GPC; and (ii) is Creditworthy.</w:t>
      </w:r>
    </w:p>
    <w:p w:rsidRPr="001703E6" w:rsidR="0029492C" w:rsidP="00B71D5E" w:rsidRDefault="0029492C" w14:paraId="4BA7AA73" w14:textId="77777777">
      <w:pPr>
        <w:pStyle w:val="zGNormalDefinition"/>
        <w:spacing w:before="120" w:after="120"/>
        <w:rPr>
          <w:rStyle w:val="zGNormalChar"/>
        </w:rPr>
      </w:pPr>
      <w:bookmarkStart w:name="_Hlk139898522" w:id="16"/>
      <w:r w:rsidRPr="001703E6">
        <w:rPr>
          <w:b/>
          <w:bCs/>
          <w:spacing w:val="0"/>
          <w:sz w:val="20"/>
          <w:u w:val="single"/>
        </w:rPr>
        <w:t>Seller Guarantor Financial Statements</w:t>
      </w:r>
      <w:r w:rsidRPr="001703E6">
        <w:rPr>
          <w:b/>
          <w:bCs/>
          <w:spacing w:val="0"/>
          <w:sz w:val="20"/>
        </w:rPr>
        <w:t>:</w:t>
      </w:r>
      <w:r w:rsidRPr="001703E6">
        <w:rPr>
          <w:spacing w:val="0"/>
          <w:sz w:val="20"/>
        </w:rPr>
        <w:t xml:space="preserve"> </w:t>
      </w:r>
      <w:r w:rsidRPr="001703E6">
        <w:rPr>
          <w:rStyle w:val="zGNormalChar"/>
        </w:rPr>
        <w:t>As defined in Section 3.16.2 (</w:t>
      </w:r>
      <w:r w:rsidRPr="001703E6">
        <w:rPr>
          <w:rStyle w:val="zGNormalChar"/>
          <w:i/>
          <w:iCs/>
        </w:rPr>
        <w:t>Guarantor Financial Statements</w:t>
      </w:r>
      <w:r w:rsidRPr="001703E6">
        <w:rPr>
          <w:rStyle w:val="zGNormalChar"/>
        </w:rPr>
        <w:t>).</w:t>
      </w:r>
    </w:p>
    <w:bookmarkEnd w:id="16"/>
    <w:p w:rsidRPr="001703E6" w:rsidR="0029492C" w:rsidP="00B71D5E" w:rsidRDefault="0029492C" w14:paraId="7A42DE0F" w14:textId="463C1AC1">
      <w:pPr>
        <w:pStyle w:val="zGNormalDefinition"/>
        <w:spacing w:before="120" w:after="120"/>
        <w:rPr>
          <w:spacing w:val="0"/>
          <w:sz w:val="20"/>
        </w:rPr>
      </w:pPr>
      <w:r w:rsidRPr="001703E6">
        <w:rPr>
          <w:b/>
          <w:bCs/>
          <w:spacing w:val="0"/>
          <w:sz w:val="20"/>
          <w:u w:val="single"/>
        </w:rPr>
        <w:t>Seller Guaranty</w:t>
      </w:r>
      <w:r w:rsidRPr="001703E6">
        <w:rPr>
          <w:b/>
          <w:bCs/>
          <w:spacing w:val="0"/>
          <w:sz w:val="20"/>
        </w:rPr>
        <w:t>:</w:t>
      </w:r>
      <w:r w:rsidRPr="001703E6">
        <w:rPr>
          <w:spacing w:val="0"/>
          <w:sz w:val="20"/>
        </w:rPr>
        <w:t xml:space="preserve"> </w:t>
      </w:r>
      <w:r w:rsidRPr="001703E6">
        <w:rPr>
          <w:rStyle w:val="zGNormalChar"/>
        </w:rPr>
        <w:t>A guaranty provided by Seller Guarantor that is substantially in the form of Form of Guaranty in Exhibit C (</w:t>
      </w:r>
      <w:r w:rsidRPr="001703E6">
        <w:rPr>
          <w:rStyle w:val="zGNormalChar"/>
          <w:i/>
          <w:iCs/>
        </w:rPr>
        <w:t>Form of Guaranty</w:t>
      </w:r>
      <w:r w:rsidRPr="001703E6">
        <w:rPr>
          <w:rStyle w:val="zGNormalChar"/>
        </w:rPr>
        <w:t>).</w:t>
      </w:r>
    </w:p>
    <w:p w:rsidRPr="001703E6" w:rsidR="0029492C" w:rsidP="00B71D5E" w:rsidRDefault="0029492C" w14:paraId="724DCEF2" w14:textId="77777777">
      <w:pPr>
        <w:pStyle w:val="zGNormalDefinition"/>
        <w:spacing w:before="120" w:after="120"/>
        <w:rPr>
          <w:spacing w:val="0"/>
          <w:sz w:val="20"/>
        </w:rPr>
      </w:pPr>
      <w:r w:rsidRPr="001703E6">
        <w:rPr>
          <w:b/>
          <w:bCs/>
          <w:spacing w:val="0"/>
          <w:sz w:val="20"/>
          <w:u w:val="single"/>
        </w:rPr>
        <w:t>Seller Income Taxes</w:t>
      </w:r>
      <w:r w:rsidRPr="001703E6">
        <w:rPr>
          <w:b/>
          <w:bCs/>
          <w:spacing w:val="0"/>
          <w:sz w:val="20"/>
        </w:rPr>
        <w:t>:</w:t>
      </w:r>
      <w:r w:rsidRPr="001703E6">
        <w:rPr>
          <w:spacing w:val="0"/>
          <w:sz w:val="20"/>
        </w:rPr>
        <w:t xml:space="preserve"> </w:t>
      </w:r>
      <w:r w:rsidRPr="001703E6">
        <w:rPr>
          <w:rStyle w:val="zGNormalChar"/>
        </w:rPr>
        <w:t>Any income, franchise, or similar Taxes imposed on, or Taxes imposed on or measured by reference to the net income or net worth of, Seller or any Affiliate of Seller.</w:t>
      </w:r>
    </w:p>
    <w:p w:rsidRPr="001703E6" w:rsidR="000F6FBE" w:rsidP="00B71D5E" w:rsidRDefault="000F6FBE" w14:paraId="2E091087" w14:textId="77777777">
      <w:pPr>
        <w:pStyle w:val="zGNormalDefinition"/>
        <w:spacing w:before="120" w:after="120"/>
        <w:rPr>
          <w:spacing w:val="0"/>
          <w:sz w:val="20"/>
        </w:rPr>
      </w:pPr>
      <w:r w:rsidRPr="001703E6">
        <w:rPr>
          <w:b/>
          <w:bCs/>
          <w:spacing w:val="0"/>
          <w:sz w:val="20"/>
          <w:u w:val="single"/>
        </w:rPr>
        <w:t>Seller Letter of Credit</w:t>
      </w:r>
      <w:r w:rsidRPr="001703E6">
        <w:rPr>
          <w:b/>
          <w:bCs/>
          <w:spacing w:val="0"/>
          <w:sz w:val="20"/>
        </w:rPr>
        <w:t>:</w:t>
      </w:r>
      <w:r w:rsidRPr="001703E6">
        <w:rPr>
          <w:spacing w:val="0"/>
          <w:sz w:val="20"/>
        </w:rPr>
        <w:t xml:space="preserve"> </w:t>
      </w:r>
      <w:r w:rsidRPr="001703E6">
        <w:rPr>
          <w:rStyle w:val="zGNormalChar"/>
        </w:rPr>
        <w:t>A Letter of Credit delivered by Seller to GPC on the Effective Date in the amount required under this APA.</w:t>
      </w:r>
    </w:p>
    <w:p w:rsidRPr="001703E6" w:rsidR="0029492C" w:rsidP="00B71D5E" w:rsidRDefault="0029492C" w14:paraId="2CCBD333" w14:textId="7EED909D">
      <w:pPr>
        <w:pStyle w:val="zGNormalDefinition"/>
        <w:spacing w:before="120" w:after="120"/>
        <w:rPr>
          <w:spacing w:val="0"/>
          <w:sz w:val="20"/>
        </w:rPr>
      </w:pPr>
      <w:r w:rsidRPr="001703E6">
        <w:rPr>
          <w:b/>
          <w:bCs/>
          <w:spacing w:val="0"/>
          <w:sz w:val="20"/>
          <w:u w:val="single"/>
        </w:rPr>
        <w:t>Seller Material Adverse Effect</w:t>
      </w:r>
      <w:r w:rsidRPr="001703E6">
        <w:rPr>
          <w:b/>
          <w:bCs/>
          <w:spacing w:val="0"/>
          <w:sz w:val="20"/>
        </w:rPr>
        <w:t>:</w:t>
      </w:r>
      <w:r w:rsidRPr="001703E6">
        <w:rPr>
          <w:spacing w:val="0"/>
          <w:sz w:val="20"/>
        </w:rPr>
        <w:t xml:space="preserve"> </w:t>
      </w:r>
      <w:r w:rsidRPr="001703E6">
        <w:rPr>
          <w:rStyle w:val="zGNormalChar"/>
        </w:rPr>
        <w:t xml:space="preserve">Any change, event, circumstance, development, occurrence, or effect that, individually or in the aggregate with any other change, event, circumstance, development, occurrence, or effect: (a) has had, or would reasonably be expected to have, a material adverse effect on the business, assets, or liabilities, operations, or condition (financial or otherwise) of Seller, the Facility, or the Facility Assets; (b) would reasonably be expected to prevent or materially delay the ability of Seller to perform its obligations under this APA or consummate the transactions contemplated </w:t>
      </w:r>
      <w:r w:rsidRPr="001703E6">
        <w:rPr>
          <w:rStyle w:val="zGNormalChar"/>
        </w:rPr>
        <w:lastRenderedPageBreak/>
        <w:t>by this APA; or (c) has had, or would reasonably be expected to have, a material adverse effect on the business, assets, liabilities, operations, or condition (financial or otherwise) of Seller Guarantor, except, in each case of clauses (a), (b), and (c), for any change, event, circumstance, development, occurrence, or effect resulting from or arising out of: (i) a change in economic conditions generally affecting the international, national, regional, state, or local industries in which Seller operates; (ii) a change in international, national, regional, state, or local wholesale or retail markets (including market description or pricing) for energy, electricity, fuel supply, or ancillary services, including those due to actions by competitors or changes in international, national, regional, state, or local electric transmission or distribution systems, including the operation or condition thereof; (iii) a change in general regulatory or political conditions, including any act of war, civil unrest or terrorist activity; (iv) a change or adverse condition in the securities markets, interest rates, or currency exchange rates; (v) changes in law, industry standards, accounting requirements, or regulatory policies adopted or approved by any Governmental Authority, or changes in the interpretation thereof, and any adoption, implementation, promulgation, issuance, repeal, modification, reinterpretation, or proposal of any applicable law, accounting requirement or regulatory policy after the execution of this APA; (vi) events subject to Section 5.17.1 (</w:t>
      </w:r>
      <w:r w:rsidRPr="00703992">
        <w:rPr>
          <w:rStyle w:val="zGNormalChar"/>
          <w:i/>
          <w:iCs/>
        </w:rPr>
        <w:t>Casualty Loss</w:t>
      </w:r>
      <w:r w:rsidRPr="001703E6">
        <w:rPr>
          <w:rStyle w:val="zGNormalChar"/>
        </w:rPr>
        <w:t xml:space="preserve">); (vii) any action expressly required to be taken, or not taken, in accordance with this APA or the other Transaction Documents entered into or in effect on the </w:t>
      </w:r>
      <w:r w:rsidRPr="001703E6" w:rsidR="0002052C">
        <w:rPr>
          <w:rStyle w:val="zGNormalChar"/>
        </w:rPr>
        <w:t>Effective Date</w:t>
      </w:r>
      <w:r w:rsidRPr="001703E6">
        <w:rPr>
          <w:rStyle w:val="zGNormalChar"/>
        </w:rPr>
        <w:t xml:space="preserve">, or requested, or consented to, in writing by GPC; (viii) any breach of this APA or the other Transaction Documents by GPC, or any of its Affiliates or Representatives; or (ix) the announcement or execution of this APA or the other Transaction Documents entered into on the </w:t>
      </w:r>
      <w:r w:rsidRPr="001703E6" w:rsidR="002E1440">
        <w:rPr>
          <w:rStyle w:val="zGNormalChar"/>
        </w:rPr>
        <w:t>Effective Date</w:t>
      </w:r>
      <w:r w:rsidRPr="001703E6">
        <w:rPr>
          <w:rStyle w:val="zGNormalChar"/>
        </w:rPr>
        <w:t xml:space="preserve">, including the identity of GPC or any of its Affiliates (including the impact thereof on relationships, contractual or otherwise, of Seller or any of its Affiliates with Seller’s customers, suppliers, distributors, contractors, lenders, partners, employees, or service providers); </w:t>
      </w:r>
      <w:bookmarkStart w:name="_Hlk171251643" w:id="17"/>
      <w:r w:rsidRPr="001703E6">
        <w:rPr>
          <w:rStyle w:val="zGNormalChar"/>
        </w:rPr>
        <w:t xml:space="preserve">except that none of the </w:t>
      </w:r>
      <w:bookmarkStart w:name="_Hlk171251975" w:id="18"/>
      <w:r w:rsidRPr="001703E6">
        <w:rPr>
          <w:rStyle w:val="zGNormalChar"/>
        </w:rPr>
        <w:t xml:space="preserve">changes, events, effects, occurrences, developments or circumstances </w:t>
      </w:r>
      <w:bookmarkEnd w:id="18"/>
      <w:r w:rsidRPr="001703E6">
        <w:rPr>
          <w:rStyle w:val="zGNormalChar"/>
        </w:rPr>
        <w:t xml:space="preserve">in clauses (i) through (v) will be deemed in itself, or in any combination, to constitute a Seller Material Adverse Effect, and none of those changes, events, effects, occurrences, developments, or circumstances will be taken into account in determining whether there has been or will be a Seller Material Adverse Effect, in either case, if the change, event, circumstance, development, occurrence, or effect </w:t>
      </w:r>
      <w:bookmarkEnd w:id="17"/>
      <w:r w:rsidRPr="001703E6">
        <w:rPr>
          <w:rStyle w:val="zGNormalChar"/>
        </w:rPr>
        <w:t>does not disproportionately impact Seller, the Facility, or the Facility Assets relative to other similarly situated industry participants, facilities, or facility assets.</w:t>
      </w:r>
    </w:p>
    <w:p w:rsidRPr="001703E6" w:rsidR="705C01FE" w:rsidP="17714B03" w:rsidRDefault="705C01FE" w14:paraId="2272224C" w14:textId="77777777">
      <w:pPr>
        <w:pStyle w:val="zGNormalDefinition"/>
        <w:spacing w:before="120" w:after="120"/>
        <w:rPr>
          <w:sz w:val="20"/>
        </w:rPr>
      </w:pPr>
      <w:r w:rsidRPr="001703E6">
        <w:rPr>
          <w:b/>
          <w:bCs/>
          <w:sz w:val="20"/>
          <w:u w:val="single"/>
        </w:rPr>
        <w:t>Seller Termination Payment</w:t>
      </w:r>
      <w:r w:rsidRPr="001703E6">
        <w:rPr>
          <w:b/>
          <w:bCs/>
          <w:sz w:val="20"/>
        </w:rPr>
        <w:t>:</w:t>
      </w:r>
      <w:r w:rsidRPr="001703E6">
        <w:rPr>
          <w:sz w:val="20"/>
        </w:rPr>
        <w:t xml:space="preserve"> </w:t>
      </w:r>
      <w:r w:rsidRPr="001703E6">
        <w:rPr>
          <w:rStyle w:val="zGNormalChar"/>
        </w:rPr>
        <w:t>The applicable amount specified in Exhibit  A-1 (</w:t>
      </w:r>
      <w:r w:rsidRPr="001703E6">
        <w:rPr>
          <w:rStyle w:val="zGNormalChar"/>
          <w:i/>
          <w:iCs/>
        </w:rPr>
        <w:t>Facility Information and Additional Details</w:t>
      </w:r>
      <w:r w:rsidRPr="001703E6">
        <w:rPr>
          <w:rStyle w:val="zGNormalChar"/>
        </w:rPr>
        <w:t>).</w:t>
      </w:r>
    </w:p>
    <w:p w:rsidRPr="001703E6" w:rsidR="0029492C" w:rsidP="00B71D5E" w:rsidRDefault="0029492C" w14:paraId="0F9A7E20" w14:textId="77777777">
      <w:pPr>
        <w:pStyle w:val="zGNormalDefinition"/>
        <w:spacing w:before="120" w:after="120"/>
        <w:rPr>
          <w:spacing w:val="0"/>
          <w:sz w:val="20"/>
        </w:rPr>
      </w:pPr>
      <w:bookmarkStart w:name="_Hlk144631662" w:id="19"/>
      <w:r w:rsidRPr="001703E6">
        <w:rPr>
          <w:b/>
          <w:bCs/>
          <w:spacing w:val="0"/>
          <w:sz w:val="20"/>
          <w:u w:val="single"/>
        </w:rPr>
        <w:t>Solvent</w:t>
      </w:r>
      <w:r w:rsidRPr="001703E6">
        <w:rPr>
          <w:b/>
          <w:bCs/>
          <w:spacing w:val="0"/>
          <w:sz w:val="20"/>
        </w:rPr>
        <w:t>:</w:t>
      </w:r>
      <w:r w:rsidRPr="001703E6">
        <w:rPr>
          <w:spacing w:val="0"/>
          <w:sz w:val="20"/>
        </w:rPr>
        <w:t xml:space="preserve"> </w:t>
      </w:r>
      <w:r w:rsidRPr="001703E6">
        <w:rPr>
          <w:rStyle w:val="zGNormalChar"/>
        </w:rPr>
        <w:t>With respect to a Person on any date of determination, that on the date: (a) the fair valuation of the sum of the assets of the Person is greater than the sum of liabilities of the Person, in each case, at a fair market valuation; (b) the fair market valuation of the sum of the assets of the Person is not less than the amount that will be required to pay the debts of the Person as they become absolute and matured; (c) the Person does not intend to incur debts or liabilities beyond the Person’s ability to pay its debts and liabilities as they mature taking into account the possibility of refinancing such obligations and selling assets; and (d) the Person has the present ability to pay its debts and liabilities as they become due</w:t>
      </w:r>
      <w:bookmarkEnd w:id="19"/>
      <w:r w:rsidRPr="001703E6">
        <w:rPr>
          <w:rStyle w:val="zGNormalChar"/>
        </w:rPr>
        <w:t>.</w:t>
      </w:r>
    </w:p>
    <w:p w:rsidRPr="001703E6" w:rsidR="0029492C" w:rsidP="00B71D5E" w:rsidRDefault="0029492C" w14:paraId="34E5542A" w14:textId="77777777">
      <w:pPr>
        <w:pStyle w:val="zGNormalDefinition"/>
        <w:spacing w:before="120" w:after="120"/>
        <w:rPr>
          <w:rStyle w:val="zGNormalChar"/>
        </w:rPr>
      </w:pPr>
      <w:r w:rsidRPr="001703E6">
        <w:rPr>
          <w:b/>
          <w:bCs/>
          <w:spacing w:val="0"/>
          <w:sz w:val="20"/>
          <w:u w:val="single"/>
        </w:rPr>
        <w:t>Straddle Period</w:t>
      </w:r>
      <w:r w:rsidRPr="001703E6">
        <w:rPr>
          <w:b/>
          <w:bCs/>
          <w:spacing w:val="0"/>
          <w:sz w:val="20"/>
        </w:rPr>
        <w:t>:</w:t>
      </w:r>
      <w:r w:rsidRPr="001703E6">
        <w:rPr>
          <w:spacing w:val="0"/>
          <w:sz w:val="20"/>
        </w:rPr>
        <w:t xml:space="preserve"> </w:t>
      </w:r>
      <w:r w:rsidRPr="001703E6">
        <w:rPr>
          <w:rStyle w:val="zGNormalChar"/>
        </w:rPr>
        <w:t>Any Tax period beginning before or on and ending after the Closing Date.</w:t>
      </w:r>
    </w:p>
    <w:p w:rsidRPr="001703E6" w:rsidR="00C45091" w:rsidP="00B71D5E" w:rsidRDefault="00C45091" w14:paraId="5CDA8E1F" w14:textId="77777777">
      <w:pPr>
        <w:pStyle w:val="zGNormalDefinition"/>
        <w:spacing w:before="120" w:after="120"/>
        <w:rPr>
          <w:spacing w:val="0"/>
          <w:sz w:val="20"/>
        </w:rPr>
      </w:pPr>
      <w:r w:rsidRPr="001703E6">
        <w:rPr>
          <w:b/>
          <w:bCs/>
          <w:spacing w:val="0"/>
          <w:sz w:val="20"/>
          <w:u w:val="single"/>
        </w:rPr>
        <w:t>Surveyor</w:t>
      </w:r>
      <w:r w:rsidRPr="001703E6">
        <w:rPr>
          <w:b/>
          <w:bCs/>
          <w:spacing w:val="0"/>
          <w:sz w:val="20"/>
        </w:rPr>
        <w:t>:</w:t>
      </w:r>
      <w:r w:rsidRPr="001703E6">
        <w:rPr>
          <w:spacing w:val="0"/>
          <w:sz w:val="20"/>
        </w:rPr>
        <w:t xml:space="preserve"> </w:t>
      </w:r>
      <w:r w:rsidRPr="001703E6">
        <w:rPr>
          <w:rStyle w:val="zGNormalChar"/>
        </w:rPr>
        <w:t>A licensed surveyor reasonably acceptable to GPC.</w:t>
      </w:r>
    </w:p>
    <w:p w:rsidRPr="001703E6" w:rsidR="0029492C" w:rsidP="00B71D5E" w:rsidRDefault="0029492C" w14:paraId="478B2450" w14:textId="77777777">
      <w:pPr>
        <w:pStyle w:val="zGNormalDefinition"/>
        <w:spacing w:before="120" w:after="120"/>
        <w:rPr>
          <w:spacing w:val="0"/>
          <w:sz w:val="20"/>
        </w:rPr>
      </w:pPr>
      <w:bookmarkStart w:name="_Hlk144816648" w:id="20"/>
      <w:r w:rsidRPr="001703E6">
        <w:rPr>
          <w:b/>
          <w:bCs/>
          <w:spacing w:val="0"/>
          <w:sz w:val="20"/>
          <w:u w:val="single"/>
        </w:rPr>
        <w:t>Tax</w:t>
      </w:r>
      <w:r w:rsidRPr="001703E6">
        <w:rPr>
          <w:spacing w:val="0"/>
          <w:sz w:val="20"/>
        </w:rPr>
        <w:t xml:space="preserve"> or </w:t>
      </w:r>
      <w:r w:rsidRPr="001703E6">
        <w:rPr>
          <w:b/>
          <w:bCs/>
          <w:spacing w:val="0"/>
          <w:sz w:val="20"/>
          <w:u w:val="single"/>
        </w:rPr>
        <w:t>Taxes</w:t>
      </w:r>
      <w:r w:rsidRPr="001703E6">
        <w:rPr>
          <w:b/>
          <w:bCs/>
          <w:spacing w:val="0"/>
          <w:sz w:val="20"/>
        </w:rPr>
        <w:t>:</w:t>
      </w:r>
      <w:r w:rsidRPr="001703E6">
        <w:rPr>
          <w:spacing w:val="0"/>
          <w:sz w:val="20"/>
        </w:rPr>
        <w:t xml:space="preserve"> </w:t>
      </w:r>
      <w:r w:rsidRPr="001703E6">
        <w:rPr>
          <w:rStyle w:val="zGNormalChar"/>
        </w:rPr>
        <w:t>Any United States local, state, or federal, or foreign, income, profits, franchise, withholding, ad valorem, gross receipts, windfall profits, value added, production, goods and services, harmonized sales, duty, license, escheat or unclaimed property, personal property (tangible and intangible), employment, payroll, sales and use, social security, disability, occupation, real property, severance, excise or other tax, charge, levy, fee, duty, custom, tariff, impost, obligation, charge, or other assessment imposed by a Taxing Authority, including any interest, penalty, or addition thereto.</w:t>
      </w:r>
    </w:p>
    <w:p w:rsidRPr="001703E6" w:rsidR="00E91BC6" w:rsidP="00B71D5E" w:rsidRDefault="00E91BC6" w14:paraId="3FFCDDDD" w14:textId="77777777">
      <w:pPr>
        <w:pStyle w:val="zGNormalDefinition"/>
        <w:spacing w:before="120" w:after="120"/>
        <w:rPr>
          <w:spacing w:val="0"/>
          <w:sz w:val="20"/>
        </w:rPr>
      </w:pPr>
      <w:r w:rsidRPr="001703E6">
        <w:rPr>
          <w:b/>
          <w:bCs/>
          <w:spacing w:val="0"/>
          <w:sz w:val="20"/>
          <w:u w:val="single"/>
        </w:rPr>
        <w:t>Tax Benefit</w:t>
      </w:r>
      <w:r w:rsidRPr="001703E6">
        <w:rPr>
          <w:b/>
          <w:bCs/>
          <w:spacing w:val="0"/>
          <w:sz w:val="20"/>
        </w:rPr>
        <w:t>:</w:t>
      </w:r>
      <w:r w:rsidRPr="001703E6">
        <w:rPr>
          <w:spacing w:val="0"/>
          <w:sz w:val="20"/>
        </w:rPr>
        <w:t xml:space="preserve"> </w:t>
      </w:r>
      <w:r w:rsidRPr="001703E6">
        <w:rPr>
          <w:rStyle w:val="zGNormalChar"/>
        </w:rPr>
        <w:t>Any PTC, ITC, accelerated depreciation (including bonus depreciation), amortization, or state level credit, deduction, or incentive.</w:t>
      </w:r>
      <w:r w:rsidRPr="001703E6">
        <w:rPr>
          <w:spacing w:val="0"/>
          <w:sz w:val="20"/>
        </w:rPr>
        <w:t xml:space="preserve"> </w:t>
      </w:r>
    </w:p>
    <w:bookmarkEnd w:id="20"/>
    <w:p w:rsidRPr="001703E6" w:rsidR="0029492C" w:rsidP="00B71D5E" w:rsidRDefault="0029492C" w14:paraId="62D84817" w14:textId="77777777">
      <w:pPr>
        <w:pStyle w:val="zGNormalDefinition"/>
        <w:widowControl/>
        <w:spacing w:before="120" w:after="120"/>
        <w:rPr>
          <w:spacing w:val="0"/>
          <w:sz w:val="20"/>
        </w:rPr>
      </w:pPr>
      <w:r w:rsidRPr="001703E6">
        <w:rPr>
          <w:b/>
          <w:bCs/>
          <w:spacing w:val="0"/>
          <w:sz w:val="20"/>
          <w:u w:val="single"/>
        </w:rPr>
        <w:t>Tax Return</w:t>
      </w:r>
      <w:r w:rsidRPr="001703E6">
        <w:rPr>
          <w:b/>
          <w:bCs/>
          <w:spacing w:val="0"/>
          <w:sz w:val="20"/>
        </w:rPr>
        <w:t>:</w:t>
      </w:r>
      <w:r w:rsidRPr="001703E6">
        <w:rPr>
          <w:spacing w:val="0"/>
          <w:sz w:val="20"/>
        </w:rPr>
        <w:t xml:space="preserve"> </w:t>
      </w:r>
      <w:r w:rsidRPr="001703E6">
        <w:rPr>
          <w:rStyle w:val="zGNormalChar"/>
        </w:rPr>
        <w:t>Any return, report, or similar statement (whether intangible, electronic or other form) filed or required to be filed concerning any Taxes (including any attached schedule, amendment, supplement, appendix, and exhibit), including any information return, claim for refund, amended return, and declaration of estimated Tax.</w:t>
      </w:r>
    </w:p>
    <w:p w:rsidRPr="001703E6" w:rsidR="0029492C" w:rsidP="00B71D5E" w:rsidRDefault="0029492C" w14:paraId="1E528E46" w14:textId="77777777">
      <w:pPr>
        <w:pStyle w:val="zGNormalDefinition"/>
        <w:spacing w:before="120" w:after="120"/>
        <w:rPr>
          <w:spacing w:val="0"/>
          <w:sz w:val="20"/>
        </w:rPr>
      </w:pPr>
      <w:r w:rsidRPr="001703E6">
        <w:rPr>
          <w:b/>
          <w:bCs/>
          <w:spacing w:val="0"/>
          <w:sz w:val="20"/>
          <w:u w:val="single"/>
        </w:rPr>
        <w:t>Taxing Authority</w:t>
      </w:r>
      <w:r w:rsidRPr="001703E6">
        <w:rPr>
          <w:b/>
          <w:bCs/>
          <w:spacing w:val="0"/>
          <w:sz w:val="20"/>
        </w:rPr>
        <w:t>:</w:t>
      </w:r>
      <w:r w:rsidRPr="001703E6">
        <w:rPr>
          <w:spacing w:val="0"/>
          <w:sz w:val="20"/>
        </w:rPr>
        <w:t xml:space="preserve"> </w:t>
      </w:r>
      <w:r w:rsidRPr="001703E6">
        <w:rPr>
          <w:rStyle w:val="zGNormalChar"/>
        </w:rPr>
        <w:t>With respect to any Tax, the Governmental Authority that imposes such Tax, and the agency (if any) charged with the assessment, determination, or collection of the Tax for such entity or subdivision.</w:t>
      </w:r>
    </w:p>
    <w:p w:rsidRPr="001703E6" w:rsidR="0029492C" w:rsidP="00B71D5E" w:rsidRDefault="0029492C" w14:paraId="6028C6D4" w14:textId="77777777">
      <w:pPr>
        <w:pStyle w:val="zGNormalDefinition"/>
        <w:spacing w:before="120" w:after="120"/>
        <w:rPr>
          <w:spacing w:val="0"/>
          <w:sz w:val="20"/>
        </w:rPr>
      </w:pPr>
      <w:r w:rsidRPr="001703E6">
        <w:rPr>
          <w:b/>
          <w:bCs/>
          <w:spacing w:val="0"/>
          <w:sz w:val="20"/>
          <w:u w:val="single"/>
        </w:rPr>
        <w:t>Title Company</w:t>
      </w:r>
      <w:r w:rsidRPr="001703E6">
        <w:rPr>
          <w:b/>
          <w:bCs/>
          <w:spacing w:val="0"/>
          <w:sz w:val="20"/>
        </w:rPr>
        <w:t>:</w:t>
      </w:r>
      <w:r w:rsidRPr="001703E6">
        <w:rPr>
          <w:spacing w:val="0"/>
          <w:sz w:val="20"/>
        </w:rPr>
        <w:t xml:space="preserve"> </w:t>
      </w:r>
      <w:r w:rsidRPr="001703E6">
        <w:rPr>
          <w:rStyle w:val="zGNormalChar"/>
        </w:rPr>
        <w:t>The title company specified in Exhibit A-1 (</w:t>
      </w:r>
      <w:r w:rsidRPr="001703E6">
        <w:rPr>
          <w:rStyle w:val="zGNormalChar"/>
          <w:i/>
          <w:iCs/>
        </w:rPr>
        <w:t>Facility Information and Additional Details</w:t>
      </w:r>
      <w:r w:rsidRPr="001703E6">
        <w:rPr>
          <w:rStyle w:val="zGNormalChar"/>
        </w:rPr>
        <w:t>), or another national title insurance company designated by Seller, and approved by GPC, the approval not to be unreasonably withheld, conditioned, or delayed.</w:t>
      </w:r>
    </w:p>
    <w:p w:rsidRPr="001703E6" w:rsidR="00D65641" w:rsidP="00B62EAE" w:rsidRDefault="00D65641" w14:paraId="1760A416" w14:textId="77777777">
      <w:pPr>
        <w:pStyle w:val="zGNormalDefinition"/>
        <w:rPr>
          <w:sz w:val="20"/>
        </w:rPr>
      </w:pPr>
      <w:r w:rsidRPr="001703E6">
        <w:rPr>
          <w:b/>
          <w:bCs/>
          <w:sz w:val="20"/>
          <w:u w:val="single"/>
        </w:rPr>
        <w:t>Third Party Claim</w:t>
      </w:r>
      <w:r w:rsidRPr="001703E6">
        <w:rPr>
          <w:b/>
          <w:bCs/>
          <w:sz w:val="20"/>
        </w:rPr>
        <w:t>:</w:t>
      </w:r>
      <w:r w:rsidRPr="001703E6">
        <w:rPr>
          <w:sz w:val="20"/>
        </w:rPr>
        <w:t xml:space="preserve"> </w:t>
      </w:r>
      <w:r w:rsidRPr="001703E6">
        <w:rPr>
          <w:rStyle w:val="zGNormalChar"/>
        </w:rPr>
        <w:t>Any legal proceeding instituted, or Claim asserted, by any Person not a Party to, and not affiliated with any Party to, this APA with respect to an Indemnification Claim.</w:t>
      </w:r>
    </w:p>
    <w:p w:rsidRPr="001703E6" w:rsidR="0029492C" w:rsidP="00B71D5E" w:rsidRDefault="0029492C" w14:paraId="71839723" w14:textId="77777777">
      <w:pPr>
        <w:pStyle w:val="zGNormalDefinition"/>
        <w:spacing w:before="120" w:after="120"/>
        <w:rPr>
          <w:spacing w:val="0"/>
          <w:sz w:val="20"/>
        </w:rPr>
      </w:pPr>
      <w:r w:rsidRPr="001703E6">
        <w:rPr>
          <w:b/>
          <w:bCs/>
          <w:spacing w:val="0"/>
          <w:sz w:val="20"/>
          <w:u w:val="single"/>
        </w:rPr>
        <w:t>Title Policy</w:t>
      </w:r>
      <w:r w:rsidRPr="001703E6">
        <w:rPr>
          <w:b/>
          <w:bCs/>
          <w:spacing w:val="0"/>
          <w:sz w:val="20"/>
        </w:rPr>
        <w:t>:</w:t>
      </w:r>
      <w:r w:rsidRPr="001703E6">
        <w:rPr>
          <w:spacing w:val="0"/>
          <w:sz w:val="20"/>
        </w:rPr>
        <w:t xml:space="preserve"> </w:t>
      </w:r>
      <w:r w:rsidRPr="001703E6">
        <w:rPr>
          <w:rStyle w:val="zGNormalChar"/>
        </w:rPr>
        <w:t xml:space="preserve">A Georgia form of an American Land Title Association (ALTA) Form B 2006 Owner’s Title Insurance Policy issued by the Title Company, at Seller’s cost and expense (except as otherwise set forth below), insuring GPC’s rights in </w:t>
      </w:r>
      <w:r w:rsidRPr="001703E6">
        <w:rPr>
          <w:rStyle w:val="zGNormalChar"/>
        </w:rPr>
        <w:lastRenderedPageBreak/>
        <w:t>each parcel of real property comprising the Facility Real Property, including any Improvement, that: (a) is in form and substance as GPC may reasonably approve, and contains the requirements, modifications, and endorsements that are available for issuance in the state of Georgia (at GPC’s sole cost and expense) as GPC may reasonably require; (b) contains the additional affirmative coverage and associated endorsements available for issuance in the state of Georgia (at GPC’s sole cost and expense, unless necessary to satisfy any Objectionable Title and Survey Matters, in which case the same will be at Seller’s cost and expense) as GPC may reasonably request; (c) is in the amount of the Purchase Price allocated to the Facility Real Property and the Improvements; (d) names GPC as the insured; (e) is dated effective as of the Closing Date; and (f) provides for full extended coverage (at GPC’s sole cost and expense) over all general title exceptions contained in such policy and shows as exceptions only those exceptions that are Permitted Liens.</w:t>
      </w:r>
    </w:p>
    <w:p w:rsidRPr="001703E6" w:rsidR="0029492C" w:rsidP="00B71D5E" w:rsidRDefault="0029492C" w14:paraId="604A0DED" w14:textId="3C2C72E5">
      <w:pPr>
        <w:pStyle w:val="zGNormalDefinition"/>
        <w:spacing w:before="120" w:after="120"/>
        <w:rPr>
          <w:spacing w:val="0"/>
          <w:sz w:val="20"/>
        </w:rPr>
      </w:pPr>
      <w:r w:rsidRPr="001703E6">
        <w:rPr>
          <w:b/>
          <w:bCs/>
          <w:spacing w:val="0"/>
          <w:sz w:val="20"/>
          <w:u w:val="single"/>
        </w:rPr>
        <w:t>Transaction Documents</w:t>
      </w:r>
      <w:r w:rsidRPr="001703E6">
        <w:rPr>
          <w:b/>
          <w:bCs/>
          <w:spacing w:val="0"/>
          <w:sz w:val="20"/>
        </w:rPr>
        <w:t>:</w:t>
      </w:r>
      <w:r w:rsidRPr="001703E6">
        <w:rPr>
          <w:spacing w:val="0"/>
          <w:sz w:val="20"/>
        </w:rPr>
        <w:t xml:space="preserve"> </w:t>
      </w:r>
      <w:r w:rsidRPr="001703E6">
        <w:rPr>
          <w:rStyle w:val="zGNormalChar"/>
        </w:rPr>
        <w:t>This APA, the Bill of Sale, the Assignment Agreement, the Seller Guaranty, and each other document, certificate, agreement, and other instrument executed and delivered by the Parties or their Affiliates.</w:t>
      </w:r>
      <w:r w:rsidRPr="001703E6">
        <w:rPr>
          <w:spacing w:val="0"/>
          <w:sz w:val="20"/>
        </w:rPr>
        <w:t xml:space="preserve"> </w:t>
      </w:r>
    </w:p>
    <w:p w:rsidRPr="001703E6" w:rsidR="0029492C" w:rsidP="00B71D5E" w:rsidRDefault="0029492C" w14:paraId="140532D0" w14:textId="2FB584DA">
      <w:pPr>
        <w:pStyle w:val="zGNormalDefinition"/>
        <w:spacing w:before="120" w:after="120"/>
        <w:rPr>
          <w:spacing w:val="0"/>
          <w:sz w:val="20"/>
        </w:rPr>
      </w:pPr>
      <w:r w:rsidRPr="001703E6">
        <w:rPr>
          <w:b/>
          <w:bCs/>
          <w:spacing w:val="0"/>
          <w:sz w:val="20"/>
          <w:u w:val="single"/>
        </w:rPr>
        <w:t>Transfer Taxes</w:t>
      </w:r>
      <w:r w:rsidRPr="001703E6">
        <w:rPr>
          <w:b/>
          <w:bCs/>
          <w:spacing w:val="0"/>
          <w:sz w:val="20"/>
        </w:rPr>
        <w:t>:</w:t>
      </w:r>
      <w:r w:rsidRPr="001703E6">
        <w:rPr>
          <w:spacing w:val="0"/>
          <w:sz w:val="20"/>
        </w:rPr>
        <w:t xml:space="preserve"> </w:t>
      </w:r>
      <w:r w:rsidRPr="001703E6">
        <w:rPr>
          <w:rStyle w:val="zGNormalChar"/>
        </w:rPr>
        <w:t xml:space="preserve">All transfer, sales, use, goods and services, value added, documentary, real property transfer, recording, stamp duty, gross receipts, excise, transfer, and conveyance Taxes, and other similar Taxes payable </w:t>
      </w:r>
      <w:r w:rsidRPr="001703E6" w:rsidR="0090041E">
        <w:rPr>
          <w:rStyle w:val="zGNormalChar"/>
        </w:rPr>
        <w:t>because</w:t>
      </w:r>
      <w:r w:rsidRPr="001703E6">
        <w:rPr>
          <w:rStyle w:val="zGNormalChar"/>
        </w:rPr>
        <w:t xml:space="preserve"> of the consummation of the transactions contemplated by this APA.</w:t>
      </w:r>
    </w:p>
    <w:p w:rsidRPr="001703E6" w:rsidR="0029492C" w:rsidP="00B71D5E" w:rsidRDefault="0029492C" w14:paraId="267B16C1" w14:textId="77777777">
      <w:pPr>
        <w:pStyle w:val="zGNormalDefinition"/>
        <w:spacing w:before="120" w:after="120"/>
        <w:rPr>
          <w:spacing w:val="0"/>
          <w:sz w:val="20"/>
        </w:rPr>
      </w:pPr>
      <w:r w:rsidRPr="001703E6">
        <w:rPr>
          <w:b/>
          <w:bCs/>
          <w:spacing w:val="0"/>
          <w:sz w:val="20"/>
          <w:u w:val="single"/>
        </w:rPr>
        <w:t>Treasury Regulations</w:t>
      </w:r>
      <w:r w:rsidRPr="001703E6">
        <w:rPr>
          <w:b/>
          <w:bCs/>
          <w:spacing w:val="0"/>
          <w:sz w:val="20"/>
        </w:rPr>
        <w:t>:</w:t>
      </w:r>
      <w:r w:rsidRPr="001703E6">
        <w:rPr>
          <w:spacing w:val="0"/>
          <w:sz w:val="20"/>
        </w:rPr>
        <w:t xml:space="preserve"> </w:t>
      </w:r>
      <w:r w:rsidRPr="001703E6">
        <w:rPr>
          <w:rStyle w:val="zGNormalChar"/>
        </w:rPr>
        <w:t>The Code regulations.</w:t>
      </w:r>
    </w:p>
    <w:p w:rsidRPr="001703E6" w:rsidR="0029492C" w:rsidP="00B71D5E" w:rsidRDefault="0029492C" w14:paraId="5B249EA3" w14:textId="6C886D1B">
      <w:pPr>
        <w:pStyle w:val="zGNormalDefinition"/>
        <w:spacing w:before="120" w:after="120"/>
        <w:rPr>
          <w:spacing w:val="0"/>
          <w:sz w:val="20"/>
        </w:rPr>
      </w:pPr>
      <w:r w:rsidRPr="001703E6">
        <w:rPr>
          <w:b/>
          <w:bCs/>
          <w:spacing w:val="0"/>
          <w:sz w:val="20"/>
          <w:u w:val="single"/>
        </w:rPr>
        <w:t>Updated Surveys</w:t>
      </w:r>
      <w:r w:rsidRPr="001703E6">
        <w:rPr>
          <w:b/>
          <w:bCs/>
          <w:spacing w:val="0"/>
          <w:sz w:val="20"/>
        </w:rPr>
        <w:t>:</w:t>
      </w:r>
      <w:r w:rsidRPr="001703E6">
        <w:rPr>
          <w:spacing w:val="0"/>
          <w:sz w:val="20"/>
        </w:rPr>
        <w:t xml:space="preserve"> </w:t>
      </w:r>
      <w:r w:rsidRPr="001703E6">
        <w:rPr>
          <w:rStyle w:val="zGNormalChar"/>
        </w:rPr>
        <w:t xml:space="preserve">The as-built ALTA surveys of the Facility Real Property and the Improvements on the Facility Real Property, dated within 30 days </w:t>
      </w:r>
      <w:r w:rsidRPr="001703E6" w:rsidR="00D66E52">
        <w:rPr>
          <w:rStyle w:val="zGNormalChar"/>
        </w:rPr>
        <w:t>before</w:t>
      </w:r>
      <w:r w:rsidRPr="001703E6">
        <w:rPr>
          <w:rStyle w:val="zGNormalChar"/>
        </w:rPr>
        <w:t xml:space="preserve"> the Closing Date, certified to the Title Company and GPC and in form and substance reasonably satisfactory to GPC and sufficient to enable the Title Company to remove its standard survey exception and to issue the Closing Title Endorsements.</w:t>
      </w:r>
    </w:p>
    <w:p w:rsidRPr="00B71D5E" w:rsidR="0017596E" w:rsidP="00B71D5E" w:rsidRDefault="0017596E" w14:paraId="5EA3AA63" w14:textId="77777777">
      <w:pPr>
        <w:spacing w:before="120" w:after="120" w:line="240" w:lineRule="auto"/>
        <w:rPr>
          <w:rFonts w:ascii="Arial" w:hAnsi="Arial" w:cs="Arial"/>
        </w:rPr>
      </w:pPr>
      <w:r>
        <w:rPr>
          <w:rFonts w:ascii="Arial" w:hAnsi="Arial" w:cs="Arial"/>
          <w:sz w:val="20"/>
          <w:szCs w:val="20"/>
        </w:rPr>
        <w:br w:type="page"/>
      </w:r>
    </w:p>
    <w:p w:rsidRPr="00B71D5E" w:rsidR="0032213F" w:rsidP="00B71D5E" w:rsidRDefault="0032213F" w14:paraId="47CC7F4A" w14:textId="77777777">
      <w:pPr>
        <w:spacing w:before="120" w:after="120" w:line="240" w:lineRule="auto"/>
        <w:rPr>
          <w:rFonts w:ascii="Arial" w:hAnsi="Arial" w:eastAsia="Times New Roman" w:cs="Arial"/>
          <w:b/>
          <w:kern w:val="14"/>
          <w:sz w:val="24"/>
          <w:szCs w:val="24"/>
          <w14:ligatures w14:val="none"/>
        </w:rPr>
      </w:pPr>
    </w:p>
    <w:p w:rsidR="003F4B24" w:rsidP="00B71D5E" w:rsidRDefault="000C0818" w14:paraId="0B3C263C" w14:textId="77777777">
      <w:pPr>
        <w:pStyle w:val="zGTitle14"/>
        <w:rPr>
          <w:rFonts w:cs="Arial"/>
          <w:spacing w:val="0"/>
        </w:rPr>
      </w:pPr>
      <w:r>
        <w:rPr>
          <w:rFonts w:cs="Arial"/>
          <w:spacing w:val="0"/>
        </w:rPr>
        <w:t xml:space="preserve">Asset Purchase Agreement </w:t>
      </w:r>
    </w:p>
    <w:p w:rsidR="00200891" w:rsidP="00B71D5E" w:rsidRDefault="00186167" w14:paraId="09495E57" w14:textId="77777777">
      <w:pPr>
        <w:pStyle w:val="zGTitle14"/>
        <w:rPr>
          <w:rFonts w:cs="Arial"/>
          <w:spacing w:val="0"/>
        </w:rPr>
      </w:pPr>
      <w:r>
        <w:rPr>
          <w:rFonts w:cs="Arial"/>
          <w:spacing w:val="0"/>
        </w:rPr>
        <w:t xml:space="preserve">for </w:t>
      </w:r>
      <w:r w:rsidR="003F5461">
        <w:rPr>
          <w:rFonts w:cs="Arial"/>
          <w:spacing w:val="0"/>
        </w:rPr>
        <w:t>2026 All-</w:t>
      </w:r>
      <w:r w:rsidR="00200891">
        <w:rPr>
          <w:rFonts w:cs="Arial"/>
          <w:spacing w:val="0"/>
        </w:rPr>
        <w:t>Source</w:t>
      </w:r>
      <w:r w:rsidR="003F5461">
        <w:rPr>
          <w:rFonts w:cs="Arial"/>
          <w:spacing w:val="0"/>
        </w:rPr>
        <w:t xml:space="preserve"> Capacity Request for Proposals </w:t>
      </w:r>
    </w:p>
    <w:p w:rsidRPr="00B71D5E" w:rsidR="002055B4" w:rsidP="00B71D5E" w:rsidRDefault="003F5461" w14:paraId="1D9371F0" w14:textId="24E1E636">
      <w:pPr>
        <w:pStyle w:val="zGTitle14"/>
        <w:rPr>
          <w:rFonts w:cs="Arial"/>
          <w:spacing w:val="0"/>
        </w:rPr>
      </w:pPr>
      <w:r>
        <w:rPr>
          <w:rFonts w:cs="Arial"/>
          <w:spacing w:val="0"/>
        </w:rPr>
        <w:t xml:space="preserve">for Need Years </w:t>
      </w:r>
      <w:r w:rsidR="00186167">
        <w:t>2032–2033</w:t>
      </w:r>
    </w:p>
    <w:p w:rsidRPr="00B71D5E" w:rsidR="002055B4" w:rsidP="00B71D5E" w:rsidRDefault="00186167" w14:paraId="3C86C91F" w14:textId="77777777">
      <w:pPr>
        <w:pStyle w:val="zGTitle14"/>
        <w:rPr>
          <w:rFonts w:cs="Arial"/>
          <w:color w:val="000000" w:themeColor="text1"/>
          <w:spacing w:val="0"/>
        </w:rPr>
      </w:pPr>
      <w:r>
        <w:rPr>
          <w:rFonts w:cs="Arial"/>
          <w:spacing w:val="0"/>
        </w:rPr>
        <w:t>at</w:t>
      </w:r>
      <w:r>
        <w:rPr>
          <w:rFonts w:cs="Arial"/>
          <w:color w:val="000000" w:themeColor="text1"/>
          <w:spacing w:val="0"/>
          <w:highlight w:val="yellow"/>
        </w:rPr>
        <w:t xml:space="preserve"> #FacilityName#</w:t>
      </w:r>
    </w:p>
    <w:p w:rsidRPr="00B71D5E" w:rsidR="003D51CB" w:rsidP="00B71D5E" w:rsidRDefault="003D51CB" w14:paraId="19DE884D" w14:textId="77777777">
      <w:pPr>
        <w:pStyle w:val="zGTitle14"/>
        <w:rPr>
          <w:rFonts w:cs="Arial"/>
          <w:color w:val="000000" w:themeColor="text1"/>
          <w:spacing w:val="0"/>
        </w:rPr>
      </w:pPr>
      <w:r>
        <w:rPr>
          <w:rFonts w:cs="Arial"/>
          <w:color w:val="000000" w:themeColor="text1"/>
          <w:spacing w:val="0"/>
        </w:rPr>
        <w:t xml:space="preserve">between Georgia Power Company and </w:t>
      </w:r>
      <w:r>
        <w:rPr>
          <w:rFonts w:cs="Arial"/>
          <w:color w:val="000000" w:themeColor="text1"/>
          <w:spacing w:val="0"/>
          <w:highlight w:val="yellow"/>
        </w:rPr>
        <w:t>#SellerLegalName#</w:t>
      </w:r>
    </w:p>
    <w:p w:rsidRPr="00B71D5E" w:rsidR="009E2A48" w:rsidP="00B71D5E" w:rsidRDefault="002055B4" w14:paraId="091FA3E1" w14:textId="77777777">
      <w:pPr>
        <w:pStyle w:val="zGNormal"/>
        <w:spacing w:after="120"/>
      </w:pPr>
      <w:r>
        <w:rPr>
          <w:b/>
        </w:rPr>
        <w:t>Georgia Power Company</w:t>
      </w:r>
      <w:r>
        <w:t>, a Georgia corporation (“</w:t>
      </w:r>
      <w:r>
        <w:rPr>
          <w:b/>
        </w:rPr>
        <w:t>GPC</w:t>
      </w:r>
      <w:r>
        <w:t xml:space="preserve">”) and </w:t>
      </w:r>
      <w:r>
        <w:rPr>
          <w:b/>
          <w:highlight w:val="yellow"/>
        </w:rPr>
        <w:t>#SellerLegalName#</w:t>
      </w:r>
      <w:r>
        <w:t xml:space="preserve"> (“</w:t>
      </w:r>
      <w:r>
        <w:rPr>
          <w:b/>
        </w:rPr>
        <w:t>Seller</w:t>
      </w:r>
      <w:r>
        <w:t xml:space="preserve">”) enter into this </w:t>
      </w:r>
      <w:r>
        <w:rPr>
          <w:b/>
          <w:bCs/>
        </w:rPr>
        <w:t>Asset Purchase Agreement</w:t>
      </w:r>
      <w:r>
        <w:t xml:space="preserve"> on the Effective Date. </w:t>
      </w:r>
    </w:p>
    <w:p w:rsidRPr="00C83DF3" w:rsidR="00137E4C" w:rsidP="00B71D5E" w:rsidRDefault="00137E4C" w14:paraId="1DDEA12B" w14:textId="77777777">
      <w:pPr>
        <w:pStyle w:val="zGNormal"/>
        <w:spacing w:after="120"/>
        <w:rPr>
          <w:color w:val="000000" w:themeColor="text1"/>
        </w:rPr>
      </w:pPr>
      <w:r>
        <w:rPr>
          <w:bCs/>
          <w:color w:val="000000" w:themeColor="text1"/>
        </w:rPr>
        <w:t xml:space="preserve">GPC </w:t>
      </w:r>
      <w:r>
        <w:rPr>
          <w:color w:val="000000" w:themeColor="text1"/>
        </w:rPr>
        <w:t>and Seller acknowledge:</w:t>
      </w:r>
    </w:p>
    <w:p w:rsidRPr="00C83DF3" w:rsidR="00137E4C" w:rsidP="00EC532C" w:rsidRDefault="00137E4C" w14:paraId="00D9AB78" w14:textId="77777777">
      <w:pPr>
        <w:pStyle w:val="zGNormal"/>
        <w:numPr>
          <w:ilvl w:val="0"/>
          <w:numId w:val="5"/>
        </w:numPr>
        <w:spacing w:after="120"/>
      </w:pPr>
      <w:r>
        <w:t xml:space="preserve">Seller owns and operates </w:t>
      </w:r>
      <w:r>
        <w:rPr>
          <w:b/>
        </w:rPr>
        <w:t>Facility</w:t>
      </w:r>
      <w:r>
        <w:t xml:space="preserve"> as further described in Exhibit A-1 (</w:t>
      </w:r>
      <w:r>
        <w:rPr>
          <w:i/>
          <w:iCs/>
        </w:rPr>
        <w:t>Facility Information and Additional Details</w:t>
      </w:r>
      <w:proofErr w:type="gramStart"/>
      <w:r>
        <w:t>);</w:t>
      </w:r>
      <w:proofErr w:type="gramEnd"/>
    </w:p>
    <w:p w:rsidRPr="00C83DF3" w:rsidR="00137E4C" w:rsidP="00EC532C" w:rsidRDefault="00137E4C" w14:paraId="3993BA97" w14:textId="377E2C28">
      <w:pPr>
        <w:pStyle w:val="zGNormal6"/>
        <w:numPr>
          <w:ilvl w:val="0"/>
          <w:numId w:val="5"/>
        </w:numPr>
      </w:pPr>
      <w:r>
        <w:t>Seller desires to sell to GPC, and GPC desires to purchase from Seller, the Facility, and the Facility Assets, in each case, on the terms and subject to the conditions set forth in this APA, consistent with the Commission’s Order</w:t>
      </w:r>
      <w:r w:rsidR="003D3F0D">
        <w:t>s</w:t>
      </w:r>
      <w:r>
        <w:t xml:space="preserve"> in Docket No</w:t>
      </w:r>
      <w:r w:rsidR="00A019AC">
        <w:t>s</w:t>
      </w:r>
      <w:r>
        <w:t xml:space="preserve">. </w:t>
      </w:r>
      <w:r w:rsidR="00A019AC">
        <w:t xml:space="preserve">56002 and </w:t>
      </w:r>
      <w:r w:rsidR="00277D6C">
        <w:t>56368</w:t>
      </w:r>
      <w:r>
        <w:t>; and</w:t>
      </w:r>
    </w:p>
    <w:p w:rsidRPr="00C83DF3" w:rsidR="00137E4C" w:rsidP="00EC532C" w:rsidRDefault="00137E4C" w14:paraId="7369FBD5" w14:textId="77777777">
      <w:pPr>
        <w:pStyle w:val="zGNormal"/>
        <w:numPr>
          <w:ilvl w:val="0"/>
          <w:numId w:val="5"/>
        </w:numPr>
        <w:spacing w:after="120"/>
      </w:pPr>
      <w:r>
        <w:t xml:space="preserve">Concurrently with the execution and delivery of this APA, as a material inducement to GPC’s willingness to </w:t>
      </w:r>
      <w:proofErr w:type="gramStart"/>
      <w:r>
        <w:t>enter into</w:t>
      </w:r>
      <w:proofErr w:type="gramEnd"/>
      <w:r>
        <w:t xml:space="preserve"> this APA and consummate the transactions contemplated by this APA: (i) Seller has delivered the Seller Letter of Credit to GPC; or (ii) Seller Guarantor has executed and delivered the Seller Guaranty.</w:t>
      </w:r>
    </w:p>
    <w:p w:rsidRPr="00B71D5E" w:rsidR="00137E4C" w:rsidP="00B71D5E" w:rsidRDefault="00137E4C" w14:paraId="43EF22E6" w14:textId="77777777">
      <w:pPr>
        <w:pStyle w:val="zGNormal"/>
        <w:spacing w:after="120"/>
      </w:pPr>
      <w:r>
        <w:t xml:space="preserve">In consideration of the mutual promises described in this APA, and other good and valuable </w:t>
      </w:r>
      <w:proofErr w:type="gramStart"/>
      <w:r>
        <w:t>consideration</w:t>
      </w:r>
      <w:proofErr w:type="gramEnd"/>
      <w:r>
        <w:t>, the receipt, adequacy, and sufficiency of which each Party acknowledges, and intending to be legally bound, the Parties agree:</w:t>
      </w:r>
    </w:p>
    <w:p w:rsidRPr="000A51EA" w:rsidR="0029492C" w:rsidP="009B5B07" w:rsidRDefault="0029492C" w14:paraId="481AA998" w14:textId="77777777">
      <w:pPr>
        <w:pStyle w:val="zGTC01"/>
      </w:pPr>
      <w:bookmarkStart w:name="_Toc138350343" w:id="21"/>
      <w:bookmarkStart w:name="_Toc143607184" w:id="22"/>
      <w:bookmarkStart w:name="_Toc143607300" w:id="23"/>
      <w:bookmarkStart w:name="_Toc181639393" w:id="24"/>
      <w:bookmarkStart w:name="_Toc214644708" w:id="25"/>
      <w:r>
        <w:t>Purchase and Sale</w:t>
      </w:r>
      <w:bookmarkEnd w:id="21"/>
      <w:bookmarkEnd w:id="22"/>
      <w:bookmarkEnd w:id="23"/>
      <w:bookmarkEnd w:id="24"/>
      <w:bookmarkEnd w:id="25"/>
    </w:p>
    <w:p w:rsidRPr="00C83DF3" w:rsidR="00AD249B" w:rsidP="00AD249B" w:rsidRDefault="0029492C" w14:paraId="28CB38D5" w14:textId="77777777">
      <w:pPr>
        <w:pStyle w:val="zGTC02"/>
        <w:rPr>
          <w:rFonts w:ascii="Arial" w:hAnsi="Arial" w:cs="Arial"/>
          <w:vanish/>
          <w:specVanish/>
        </w:rPr>
      </w:pPr>
      <w:bookmarkStart w:name="_Toc214644709" w:id="26"/>
      <w:r>
        <w:rPr>
          <w:bCs/>
        </w:rPr>
        <w:t>Purchase and Sale of Facility Assets.</w:t>
      </w:r>
      <w:bookmarkEnd w:id="26"/>
    </w:p>
    <w:p w:rsidRPr="00B71D5E" w:rsidR="0029492C" w:rsidP="00C42AD2" w:rsidRDefault="0029492C" w14:paraId="260FC2CD" w14:textId="17500971">
      <w:pPr>
        <w:pStyle w:val="zGNormal6"/>
      </w:pPr>
      <w:r>
        <w:t xml:space="preserve"> </w:t>
      </w:r>
      <w:r w:rsidRPr="00352CAF">
        <w:t>On the terms and subject to the conditions set forth in this APA, at the Closing, Seller will sell, transfer, convey, assign, and deliver to GPC free and clear of all Liens (other than Permitted Liens), and GPC will purchase, acquire, and pay for, all of Seller’s right, title, and interest in the Facility Assets (but not the Excluded Assets), free of all Liens, other than Permitted Liens.</w:t>
      </w:r>
      <w:r>
        <w:t xml:space="preserve"> </w:t>
      </w:r>
    </w:p>
    <w:p w:rsidRPr="00C83DF3" w:rsidR="00AD249B" w:rsidP="00AD249B" w:rsidRDefault="0029492C" w14:paraId="7486E128" w14:textId="77777777">
      <w:pPr>
        <w:pStyle w:val="zGTC02"/>
        <w:rPr>
          <w:rFonts w:ascii="Arial" w:hAnsi="Arial" w:cs="Arial"/>
          <w:vanish/>
          <w:specVanish/>
        </w:rPr>
      </w:pPr>
      <w:bookmarkStart w:name="_Toc214644710" w:id="27"/>
      <w:r>
        <w:rPr>
          <w:bCs/>
        </w:rPr>
        <w:t>Assignment and Assumption of Facility Contracts and Facility Permits.</w:t>
      </w:r>
      <w:bookmarkEnd w:id="27"/>
    </w:p>
    <w:p w:rsidR="0029492C" w:rsidP="00AD249B" w:rsidRDefault="0029492C" w14:paraId="45B0F7B5" w14:textId="7578A2B4">
      <w:pPr>
        <w:pStyle w:val="zGNormal"/>
      </w:pPr>
      <w:r>
        <w:t xml:space="preserve"> </w:t>
      </w:r>
      <w:r w:rsidRPr="00352CAF">
        <w:t xml:space="preserve">On the terms and subject to the conditions set forth in this APA, </w:t>
      </w:r>
      <w:r w:rsidRPr="00352CAF" w:rsidR="0047402F">
        <w:t>at</w:t>
      </w:r>
      <w:r w:rsidRPr="00352CAF">
        <w:t xml:space="preserve"> the Closing, Seller will assign to GPC, and GPC will accept and assume the following rights and obligations from Seller: (i) all of Seller’s rights under the Facility Contracts and Facility Permits; and (ii) all of Seller’s obligations arising under the Facility Contracts and Facility </w:t>
      </w:r>
      <w:r w:rsidRPr="00FA68B8">
        <w:t xml:space="preserve">Permits solely to the extent the obligations arise after the Closing and do not constitute Liabilities arising out of any failure to perform, improper performance, warranty, or other breach, default, or violation by Seller or any of its Affiliates (or any Person acting by or on behalf of Seller or any of its Affiliates) </w:t>
      </w:r>
      <w:r w:rsidRPr="00FA68B8" w:rsidR="00084E0A">
        <w:t>before</w:t>
      </w:r>
      <w:r w:rsidRPr="00FA68B8">
        <w:t xml:space="preserve"> the Closing.</w:t>
      </w:r>
      <w:r w:rsidRPr="00352CAF">
        <w:t xml:space="preserve"> Regarding indemnity obligations under the Facility Contracts and Facility Permits, GPC will assume Liabilities only for events that occur after the Closing.</w:t>
      </w:r>
    </w:p>
    <w:p w:rsidRPr="00C83DF3" w:rsidR="00AD249B" w:rsidP="00AD249B" w:rsidRDefault="0029492C" w14:paraId="3006D83D" w14:textId="77777777">
      <w:pPr>
        <w:pStyle w:val="zGTC02"/>
        <w:rPr>
          <w:rFonts w:ascii="Arial" w:hAnsi="Arial" w:cs="Arial"/>
          <w:vanish/>
          <w:specVanish/>
        </w:rPr>
      </w:pPr>
      <w:bookmarkStart w:name="_Toc214644711" w:id="28"/>
      <w:r>
        <w:rPr>
          <w:bCs/>
        </w:rPr>
        <w:t>Excluded Assets.</w:t>
      </w:r>
      <w:bookmarkEnd w:id="28"/>
    </w:p>
    <w:p w:rsidRPr="00B71D5E" w:rsidR="0029492C" w:rsidP="00C42AD2" w:rsidRDefault="0029492C" w14:paraId="311BAE4D" w14:textId="11A277F3">
      <w:pPr>
        <w:pStyle w:val="zGNormal6"/>
      </w:pPr>
      <w:r>
        <w:t xml:space="preserve"> </w:t>
      </w:r>
      <w:r w:rsidRPr="00352CAF">
        <w:t>Seller does not transfer to GPC any right, title, or interest in, to, or under any Excluded Assets, and GPC will have no rights or Liability with respect to any Excluded Assets.</w:t>
      </w:r>
    </w:p>
    <w:p w:rsidRPr="00C83DF3" w:rsidR="00AD249B" w:rsidP="00AD249B" w:rsidRDefault="0029492C" w14:paraId="20E06C50" w14:textId="77777777">
      <w:pPr>
        <w:pStyle w:val="zGTC02"/>
        <w:rPr>
          <w:rFonts w:ascii="Arial" w:hAnsi="Arial" w:cs="Arial"/>
          <w:vanish/>
          <w:specVanish/>
        </w:rPr>
      </w:pPr>
      <w:bookmarkStart w:name="_Toc214644712" w:id="29"/>
      <w:r>
        <w:rPr>
          <w:bCs/>
        </w:rPr>
        <w:t>Excluded Liabilities.</w:t>
      </w:r>
      <w:bookmarkEnd w:id="29"/>
    </w:p>
    <w:p w:rsidRPr="00B71D5E" w:rsidR="0029492C" w:rsidP="00C42AD2" w:rsidRDefault="0029492C" w14:paraId="0DFA87C2" w14:textId="5CA7F408">
      <w:pPr>
        <w:pStyle w:val="zGNormal6"/>
      </w:pPr>
      <w:r>
        <w:t xml:space="preserve"> </w:t>
      </w:r>
      <w:r w:rsidRPr="00352CAF">
        <w:t xml:space="preserve">Except for the Assumed Liabilities, GPC will not assume and will not be responsible to pay, perform, satisfy, or discharge any of the following Liabilities of Seller or any of its Affiliates (or any Person acting on behalf of Seller or any of its Affiliates) of any kind or nature whatsoever, whether direct or indirect, known or unknown, absolute or contingent, and whether arising or accruing </w:t>
      </w:r>
      <w:r w:rsidRPr="00352CAF" w:rsidR="00D66E52">
        <w:t>before</w:t>
      </w:r>
      <w:r w:rsidRPr="00352CAF">
        <w:t>, on, or after the Closing Date (collectively, “Excluded Liabilities”), including the following:</w:t>
      </w:r>
    </w:p>
    <w:p w:rsidRPr="00B71D5E" w:rsidR="0029492C" w:rsidP="00E03307" w:rsidRDefault="0029492C" w14:paraId="5F36D166" w14:textId="7DD93256">
      <w:pPr>
        <w:pStyle w:val="zGTC03"/>
        <w:rPr>
          <w:rFonts w:cs="Arial"/>
        </w:rPr>
      </w:pPr>
      <w:r>
        <w:rPr>
          <w:rFonts w:cs="Arial"/>
        </w:rPr>
        <w:t xml:space="preserve">all Liabilities (including Liabilities to any Person in contract, tort (including for personal injury or property damage) or otherwise) arising out of the siting, design, development, construction, installation, start-up, testing, and commissioning of the Facility, or arising out of the ownership, use, operation, maintenance, or repair of the Facility or the Facility Assets on or </w:t>
      </w:r>
      <w:r w:rsidR="00D66E52">
        <w:rPr>
          <w:rFonts w:cs="Arial"/>
        </w:rPr>
        <w:t>before</w:t>
      </w:r>
      <w:r>
        <w:rPr>
          <w:rFonts w:cs="Arial"/>
        </w:rPr>
        <w:t xml:space="preserve"> the Closing, regardless of whether the Liability was or is asserted </w:t>
      </w:r>
      <w:r w:rsidR="00D66E52">
        <w:rPr>
          <w:rFonts w:cs="Arial"/>
        </w:rPr>
        <w:t>before</w:t>
      </w:r>
      <w:r>
        <w:rPr>
          <w:rFonts w:cs="Arial"/>
        </w:rPr>
        <w:t>, at, or after the Closing;</w:t>
      </w:r>
    </w:p>
    <w:p w:rsidRPr="00B71D5E" w:rsidR="0029492C" w:rsidP="00E03307" w:rsidRDefault="0029492C" w14:paraId="550C3189" w14:textId="1C4E7775">
      <w:pPr>
        <w:pStyle w:val="zGTC03"/>
        <w:rPr>
          <w:rFonts w:cs="Arial"/>
        </w:rPr>
      </w:pPr>
      <w:r>
        <w:rPr>
          <w:rFonts w:cs="Arial"/>
        </w:rPr>
        <w:lastRenderedPageBreak/>
        <w:t xml:space="preserve">all Liabilities arising from any violation of applicable </w:t>
      </w:r>
      <w:r>
        <w:t>laws</w:t>
      </w:r>
      <w:r>
        <w:rPr>
          <w:rFonts w:cs="Arial"/>
        </w:rPr>
        <w:t xml:space="preserve"> (including Environmental Law) by Seller or any of its Affiliates or any other Person acting on behalf of Seller or any of its Affiliates, in each case, in connection with the Facility or Facility Assets on or </w:t>
      </w:r>
      <w:r w:rsidR="00D66E52">
        <w:rPr>
          <w:rFonts w:cs="Arial"/>
        </w:rPr>
        <w:t>before</w:t>
      </w:r>
      <w:r>
        <w:rPr>
          <w:rFonts w:cs="Arial"/>
        </w:rPr>
        <w:t xml:space="preserve"> the </w:t>
      </w:r>
      <w:proofErr w:type="gramStart"/>
      <w:r>
        <w:rPr>
          <w:rFonts w:cs="Arial"/>
        </w:rPr>
        <w:t>Closing;</w:t>
      </w:r>
      <w:proofErr w:type="gramEnd"/>
    </w:p>
    <w:p w:rsidRPr="00B71D5E" w:rsidR="0029492C" w:rsidP="00E03307" w:rsidRDefault="0029492C" w14:paraId="4FD53BCC" w14:textId="6E6A1475">
      <w:pPr>
        <w:pStyle w:val="zGTC03"/>
        <w:rPr>
          <w:rFonts w:cs="Arial"/>
        </w:rPr>
      </w:pPr>
      <w:r>
        <w:rPr>
          <w:rFonts w:cs="Arial"/>
        </w:rPr>
        <w:t xml:space="preserve">all Liabilities that have arisen or may arise with respect to: (A) any Benefit Plan, employment agreement, or other arrangement of Seller, any Affiliate of Seller, or any of their respective ERISA Affiliates providing any type of compensation to any former or current employee of Seller, any Affiliate of Seller, or any of their respective ERISA Affiliates, including any obligation or Liability for providing continuation coverage under and complying with Section 4980B of the Code, Sections 601 through 608 of ERISA, and any applicable state </w:t>
      </w:r>
      <w:r>
        <w:t>laws</w:t>
      </w:r>
      <w:r>
        <w:rPr>
          <w:rFonts w:cs="Arial"/>
        </w:rPr>
        <w:t xml:space="preserve"> of similar intent with respect to any individual who either </w:t>
      </w:r>
      <w:r w:rsidR="00D66E52">
        <w:rPr>
          <w:rFonts w:cs="Arial"/>
        </w:rPr>
        <w:t>before</w:t>
      </w:r>
      <w:r>
        <w:rPr>
          <w:rFonts w:cs="Arial"/>
        </w:rPr>
        <w:t>, on, or after the Closing Date was covered under any group health plan contributed to or maintained by Seller, any Affiliate of Seller, or any of their respective ERISA Affiliates, or who will otherwise be an “M&amp;A Qualified Beneficiary” (as that phrase is defined in Treasury Regulation Section 54.4980B-9, Q&amp;A-4) in connection with the transactions contemplated by this APA; and (B) any current or former employee, independent contractor or consultant of Seller, any Affiliate of Seller, or any of their respective ERISA Affiliates;</w:t>
      </w:r>
    </w:p>
    <w:p w:rsidRPr="00B71D5E" w:rsidR="00B95B1A" w:rsidP="00E03307" w:rsidRDefault="00B95B1A" w14:paraId="4263D195" w14:textId="2C68A696">
      <w:pPr>
        <w:pStyle w:val="zGTC03"/>
        <w:rPr>
          <w:rFonts w:cs="Arial"/>
        </w:rPr>
      </w:pPr>
      <w:r>
        <w:rPr>
          <w:rFonts w:cs="Arial"/>
        </w:rPr>
        <w:t xml:space="preserve">all Liabilities arising from any Environmental Condition at, on, or under the Facility Real Property to the extent existing or occurring </w:t>
      </w:r>
      <w:r w:rsidR="0090318B">
        <w:rPr>
          <w:rFonts w:cs="Arial"/>
        </w:rPr>
        <w:t>before</w:t>
      </w:r>
      <w:r>
        <w:rPr>
          <w:rFonts w:cs="Arial"/>
        </w:rPr>
        <w:t xml:space="preserve"> the Closing (including any Environmental Conditions that emanate from the Facility Real Property after Closing), or from the Release of Hazardous Substances at, on, or under the Facility Real Property at or </w:t>
      </w:r>
      <w:r w:rsidR="0090318B">
        <w:rPr>
          <w:rFonts w:cs="Arial"/>
        </w:rPr>
        <w:t>before the</w:t>
      </w:r>
      <w:r>
        <w:rPr>
          <w:rFonts w:cs="Arial"/>
        </w:rPr>
        <w:t xml:space="preserve"> Closing, in each case including Liabilities related to Remediation, natural resource damages, bodily injury or property damage;</w:t>
      </w:r>
    </w:p>
    <w:p w:rsidRPr="00B71D5E" w:rsidR="00B95B1A" w:rsidP="00E03307" w:rsidRDefault="00B95B1A" w14:paraId="0A6C1E1E" w14:textId="6F16F329">
      <w:pPr>
        <w:pStyle w:val="zGTC03"/>
      </w:pPr>
      <w:r>
        <w:t xml:space="preserve">all Liabilities arising from any off-site transportation, disposal, recycling or storage, or arrangement for same, of Hazardous Substances, from the Facility or the Facility Real Property </w:t>
      </w:r>
      <w:r w:rsidR="0090318B">
        <w:t>before</w:t>
      </w:r>
      <w:r>
        <w:t xml:space="preserve"> the Closing, including Liabilities related to Remediation, natural resource damage, bodily injury, or property </w:t>
      </w:r>
      <w:proofErr w:type="gramStart"/>
      <w:r>
        <w:t>damage;</w:t>
      </w:r>
      <w:proofErr w:type="gramEnd"/>
    </w:p>
    <w:p w:rsidRPr="00B71D5E" w:rsidR="0029492C" w:rsidP="00E03307" w:rsidRDefault="0029492C" w14:paraId="70CC2855" w14:textId="02BFA8B3">
      <w:pPr>
        <w:pStyle w:val="zGTC03"/>
        <w:rPr>
          <w:rFonts w:cs="Arial"/>
        </w:rPr>
      </w:pPr>
      <w:r>
        <w:rPr>
          <w:rFonts w:cs="Arial"/>
        </w:rPr>
        <w:t xml:space="preserve">all Liabilities of Seller or any of its Affiliates under the Facility Contracts relating to the period </w:t>
      </w:r>
      <w:r w:rsidR="0090318B">
        <w:rPr>
          <w:rFonts w:cs="Arial"/>
        </w:rPr>
        <w:t>before</w:t>
      </w:r>
      <w:r>
        <w:rPr>
          <w:rFonts w:cs="Arial"/>
        </w:rPr>
        <w:t xml:space="preserve"> Closing, and all Liabilities under Contracts relating to the Facility or the Facility Assets that are not Facility </w:t>
      </w:r>
      <w:proofErr w:type="gramStart"/>
      <w:r>
        <w:rPr>
          <w:rFonts w:cs="Arial"/>
        </w:rPr>
        <w:t>Contracts;</w:t>
      </w:r>
      <w:proofErr w:type="gramEnd"/>
    </w:p>
    <w:p w:rsidRPr="00B71D5E" w:rsidR="0029492C" w:rsidP="00E03307" w:rsidRDefault="0029492C" w14:paraId="63343100" w14:textId="6E390117">
      <w:pPr>
        <w:pStyle w:val="zGTC03"/>
        <w:rPr>
          <w:rFonts w:cs="Arial"/>
        </w:rPr>
      </w:pPr>
      <w:r>
        <w:rPr>
          <w:rFonts w:cs="Arial"/>
        </w:rPr>
        <w:t xml:space="preserve">all Liabilities of Seller or any of its Affiliates under the Facility Permits relating to the period </w:t>
      </w:r>
      <w:r w:rsidR="0090318B">
        <w:rPr>
          <w:rFonts w:cs="Arial"/>
        </w:rPr>
        <w:t>before</w:t>
      </w:r>
      <w:r>
        <w:rPr>
          <w:rFonts w:cs="Arial"/>
        </w:rPr>
        <w:t xml:space="preserve"> Closing, and all Liabilities under Permits relating to the Facility or the Facility Assets that are not Facility </w:t>
      </w:r>
      <w:proofErr w:type="gramStart"/>
      <w:r>
        <w:rPr>
          <w:rFonts w:cs="Arial"/>
        </w:rPr>
        <w:t>Permits;</w:t>
      </w:r>
      <w:proofErr w:type="gramEnd"/>
    </w:p>
    <w:p w:rsidRPr="00B71D5E" w:rsidR="0029492C" w:rsidP="00E03307" w:rsidRDefault="0029492C" w14:paraId="6448AB08" w14:textId="2D60B325">
      <w:pPr>
        <w:pStyle w:val="zGTC03"/>
        <w:rPr>
          <w:rFonts w:cs="Arial"/>
        </w:rPr>
      </w:pPr>
      <w:r>
        <w:rPr>
          <w:rFonts w:cs="Arial"/>
        </w:rPr>
        <w:t xml:space="preserve">all Liabilities with respect to any Action or Claim or threatened Action or Claim in connection with the Facility or the Facility Assets, other than in connection with this APA, arising or accruing on or </w:t>
      </w:r>
      <w:r w:rsidR="0090318B">
        <w:rPr>
          <w:rFonts w:cs="Arial"/>
        </w:rPr>
        <w:t>before</w:t>
      </w:r>
      <w:r>
        <w:rPr>
          <w:rFonts w:cs="Arial"/>
        </w:rPr>
        <w:t xml:space="preserve"> the Closing, regardless of when </w:t>
      </w:r>
      <w:proofErr w:type="gramStart"/>
      <w:r>
        <w:rPr>
          <w:rFonts w:cs="Arial"/>
        </w:rPr>
        <w:t>filed;</w:t>
      </w:r>
      <w:proofErr w:type="gramEnd"/>
    </w:p>
    <w:p w:rsidRPr="00C83DF3" w:rsidR="0029492C" w:rsidP="00E03307" w:rsidRDefault="0029492C" w14:paraId="52D65089" w14:textId="77777777">
      <w:pPr>
        <w:pStyle w:val="zGTC03"/>
        <w:rPr>
          <w:rFonts w:cs="Arial"/>
        </w:rPr>
      </w:pPr>
      <w:r>
        <w:rPr>
          <w:rFonts w:cs="Arial"/>
        </w:rPr>
        <w:t xml:space="preserve">all Pre-Closing Taxes, Seller Income Taxes, Transfer Taxes, and any other Taxes with respect to the transfer of the Facility Assets pursuant to this </w:t>
      </w:r>
      <w:proofErr w:type="gramStart"/>
      <w:r>
        <w:rPr>
          <w:rFonts w:cs="Arial"/>
        </w:rPr>
        <w:t>APA;</w:t>
      </w:r>
      <w:proofErr w:type="gramEnd"/>
      <w:r>
        <w:rPr>
          <w:rFonts w:cs="Arial"/>
        </w:rPr>
        <w:t xml:space="preserve"> </w:t>
      </w:r>
    </w:p>
    <w:p w:rsidRPr="00C83DF3" w:rsidR="000F77DD" w:rsidP="00E03307" w:rsidRDefault="0029492C" w14:paraId="02DC7090" w14:textId="77777777">
      <w:pPr>
        <w:pStyle w:val="zGTC03"/>
        <w:rPr>
          <w:rFonts w:cs="Arial"/>
        </w:rPr>
      </w:pPr>
      <w:r>
        <w:rPr>
          <w:rFonts w:cs="Arial"/>
        </w:rPr>
        <w:t>all Liabilities in any way relating</w:t>
      </w:r>
      <w:r>
        <w:rPr>
          <w:rFonts w:cs="Arial"/>
          <w:szCs w:val="20"/>
        </w:rPr>
        <w:t xml:space="preserve"> to, resulting from, or arising out of any Excluded Assets; and</w:t>
      </w:r>
    </w:p>
    <w:p w:rsidRPr="00C83DF3" w:rsidR="000F77DD" w:rsidP="00E03307" w:rsidRDefault="00945519" w14:paraId="5DD70127" w14:textId="154770F5">
      <w:pPr>
        <w:pStyle w:val="zGTC03"/>
        <w:rPr>
          <w:rFonts w:cs="Arial"/>
        </w:rPr>
      </w:pPr>
      <w:r>
        <w:rPr>
          <w:rFonts w:cs="Arial"/>
        </w:rPr>
        <w:t xml:space="preserve">all Liabilities for personal or bodily injury (including death) or property damage associated with the Facility (including its operation, maintenance, repair, or replacement) or for transmission, distribution, or control of electric energy within the Facility arising or accruing </w:t>
      </w:r>
      <w:r w:rsidR="0090318B">
        <w:rPr>
          <w:rFonts w:cs="Arial"/>
        </w:rPr>
        <w:t>before</w:t>
      </w:r>
      <w:r>
        <w:rPr>
          <w:rFonts w:cs="Arial"/>
        </w:rPr>
        <w:t xml:space="preserve"> the Closing, except in the case of the sole negligence or intentional wrongdoing of a GPC On-Site Representative.</w:t>
      </w:r>
    </w:p>
    <w:p w:rsidRPr="00C83DF3" w:rsidR="003F5DB3" w:rsidP="003F5DB3" w:rsidRDefault="0029492C" w14:paraId="71F9EABA" w14:textId="77777777">
      <w:pPr>
        <w:pStyle w:val="zGTC02"/>
        <w:rPr>
          <w:rFonts w:ascii="Arial" w:hAnsi="Arial" w:cs="Arial"/>
          <w:vanish/>
          <w:specVanish/>
        </w:rPr>
      </w:pPr>
      <w:bookmarkStart w:name="_Toc214644713" w:id="30"/>
      <w:r>
        <w:t>Assumed</w:t>
      </w:r>
      <w:r>
        <w:rPr>
          <w:rFonts w:cs="Arial"/>
        </w:rPr>
        <w:t xml:space="preserve"> </w:t>
      </w:r>
      <w:r>
        <w:t>Liabilities.</w:t>
      </w:r>
      <w:bookmarkEnd w:id="30"/>
    </w:p>
    <w:p w:rsidRPr="00C83DF3" w:rsidR="0029492C" w:rsidP="00E03307" w:rsidRDefault="00B62EAE" w14:paraId="62A507CF" w14:textId="1BCB30F5">
      <w:pPr>
        <w:pStyle w:val="zGTC03"/>
        <w:rPr>
          <w:rFonts w:cs="Arial"/>
        </w:rPr>
      </w:pPr>
      <w:r w:rsidRPr="003F5DB3">
        <w:t xml:space="preserve"> </w:t>
      </w:r>
      <w:r w:rsidRPr="003F5DB3" w:rsidR="0029492C">
        <w:t>On the terms and subject to the conditions set forth in this APA, at the Closing, GPC will assume, and Seller will assign to GPC, only the following Liabilities of Seller (“</w:t>
      </w:r>
      <w:r w:rsidRPr="004319E7" w:rsidR="0029492C">
        <w:rPr>
          <w:b/>
          <w:bCs/>
        </w:rPr>
        <w:t>Assumed Liabilities</w:t>
      </w:r>
      <w:r w:rsidRPr="003F5DB3" w:rsidR="0029492C">
        <w:t xml:space="preserve">”) and no other </w:t>
      </w:r>
      <w:proofErr w:type="spellStart"/>
      <w:r w:rsidRPr="003F5DB3" w:rsidR="0029492C">
        <w:t>Liabilities:</w:t>
      </w:r>
      <w:r w:rsidR="0029492C">
        <w:rPr>
          <w:rFonts w:cs="Arial"/>
        </w:rPr>
        <w:t>all</w:t>
      </w:r>
      <w:proofErr w:type="spellEnd"/>
      <w:r w:rsidR="0029492C">
        <w:rPr>
          <w:rFonts w:cs="Arial"/>
        </w:rPr>
        <w:t xml:space="preserve"> Liabilities under the Facility Contracts expressly assumed by GPC pursuant to, and subject to the conditions set forth in, </w:t>
      </w:r>
      <w:r w:rsidR="0029492C">
        <w:t>Section</w:t>
      </w:r>
      <w:r w:rsidR="0029492C">
        <w:rPr>
          <w:rFonts w:cs="Arial"/>
        </w:rPr>
        <w:t xml:space="preserve"> 1.2 (</w:t>
      </w:r>
      <w:r w:rsidR="0029492C">
        <w:rPr>
          <w:rFonts w:cs="Arial"/>
          <w:i/>
        </w:rPr>
        <w:t>Assignment and Assumption of Facility Contracts and Facility Permits</w:t>
      </w:r>
      <w:r w:rsidR="0029492C">
        <w:rPr>
          <w:rFonts w:cs="Arial"/>
        </w:rPr>
        <w:t>); and</w:t>
      </w:r>
    </w:p>
    <w:p w:rsidRPr="00C83DF3" w:rsidR="0029492C" w:rsidP="00E03307" w:rsidRDefault="0029492C" w14:paraId="70298430" w14:textId="7FF9D6E5">
      <w:pPr>
        <w:pStyle w:val="zGTC03"/>
        <w:rPr>
          <w:rFonts w:cs="Arial"/>
        </w:rPr>
      </w:pPr>
      <w:r>
        <w:rPr>
          <w:rFonts w:cs="Arial"/>
        </w:rPr>
        <w:t>all Liabilities arising</w:t>
      </w:r>
      <w:r>
        <w:rPr>
          <w:rFonts w:cs="Arial"/>
          <w:szCs w:val="20"/>
        </w:rPr>
        <w:t xml:space="preserve"> from the ownership, operation, maintenance, or use of the Facility or the Facility Assets by GPC following the Closing, other than Excluded Liabilities arising or accruing </w:t>
      </w:r>
      <w:r w:rsidR="0090318B">
        <w:rPr>
          <w:rFonts w:cs="Arial"/>
          <w:szCs w:val="20"/>
        </w:rPr>
        <w:t>before</w:t>
      </w:r>
      <w:r>
        <w:rPr>
          <w:rFonts w:cs="Arial"/>
          <w:szCs w:val="20"/>
        </w:rPr>
        <w:t>, at, or after the Closing.</w:t>
      </w:r>
    </w:p>
    <w:p w:rsidRPr="00C83DF3" w:rsidR="003F5DB3" w:rsidP="003F5DB3" w:rsidRDefault="003E68D0" w14:paraId="488A10B1" w14:textId="77777777">
      <w:pPr>
        <w:pStyle w:val="zGTC02"/>
        <w:rPr>
          <w:rFonts w:ascii="Arial" w:hAnsi="Arial" w:cs="Arial"/>
          <w:vanish/>
          <w:specVanish/>
        </w:rPr>
      </w:pPr>
      <w:bookmarkStart w:name="_Toc214644714" w:id="31"/>
      <w:r w:rsidRPr="00B62EAE">
        <w:t>Purchase Pric</w:t>
      </w:r>
      <w:r w:rsidR="000E46E9">
        <w:t>e.</w:t>
      </w:r>
      <w:bookmarkEnd w:id="31"/>
    </w:p>
    <w:p w:rsidR="00443289" w:rsidP="004319E7" w:rsidRDefault="003E68D0" w14:paraId="30B0BD50" w14:textId="77777777">
      <w:pPr>
        <w:pStyle w:val="zGNormal6"/>
        <w:sectPr w:rsidR="00443289" w:rsidSect="00C11AB5">
          <w:headerReference w:type="even" r:id="rId15"/>
          <w:headerReference w:type="default" r:id="rId16"/>
          <w:footerReference w:type="even" r:id="rId17"/>
          <w:footerReference w:type="default" r:id="rId18"/>
          <w:headerReference w:type="first" r:id="rId19"/>
          <w:footerReference w:type="first" r:id="rId20"/>
          <w:pgSz w:w="12240" w:h="15840" w:code="1"/>
          <w:pgMar w:top="1080" w:right="1080" w:bottom="936" w:left="1224" w:header="432" w:footer="576" w:gutter="0"/>
          <w:cols w:space="720"/>
          <w:titlePg/>
          <w:docGrid w:linePitch="326"/>
        </w:sectPr>
      </w:pPr>
      <w:r w:rsidRPr="003F5DB3">
        <w:t xml:space="preserve"> GPC agrees to pay Seller an amount equal to the Base Purchase Price, as adjusted in accordance with Section 2.2 (</w:t>
      </w:r>
      <w:r w:rsidRPr="003F5DB3">
        <w:rPr>
          <w:i/>
          <w:iCs/>
        </w:rPr>
        <w:t>Working Capital Adjustment</w:t>
      </w:r>
      <w:r w:rsidRPr="003F5DB3">
        <w:t>), as the Purchase Price for the Facility Assets (“</w:t>
      </w:r>
      <w:r w:rsidRPr="004319E7">
        <w:rPr>
          <w:b/>
          <w:bCs/>
        </w:rPr>
        <w:t>Purchase Price</w:t>
      </w:r>
      <w:r w:rsidRPr="003F5DB3">
        <w:t>”).</w:t>
      </w:r>
    </w:p>
    <w:p w:rsidRPr="00C83DF3" w:rsidR="0029492C" w:rsidP="00B71D5E" w:rsidRDefault="0029492C" w14:paraId="7113FECF" w14:textId="77777777">
      <w:pPr>
        <w:pStyle w:val="zGTC01"/>
        <w:keepLines/>
        <w:spacing w:before="120"/>
        <w:rPr>
          <w:rFonts w:ascii="Arial" w:hAnsi="Arial"/>
        </w:rPr>
      </w:pPr>
      <w:bookmarkStart w:name="_Toc138350345" w:id="32"/>
      <w:bookmarkStart w:name="_Toc143607187" w:id="33"/>
      <w:bookmarkStart w:name="_Toc143607301" w:id="34"/>
      <w:bookmarkStart w:name="_Toc181639395" w:id="35"/>
      <w:bookmarkStart w:name="_Toc214644715" w:id="36"/>
      <w:r>
        <w:rPr>
          <w:rFonts w:ascii="Arial" w:hAnsi="Arial"/>
        </w:rPr>
        <w:lastRenderedPageBreak/>
        <w:t>Closing; Purchase Price Adjustments; Purchase Price Allocation.</w:t>
      </w:r>
      <w:bookmarkEnd w:id="32"/>
      <w:bookmarkEnd w:id="33"/>
      <w:bookmarkEnd w:id="34"/>
      <w:bookmarkEnd w:id="35"/>
      <w:bookmarkEnd w:id="36"/>
    </w:p>
    <w:p w:rsidRPr="00C83DF3" w:rsidR="003423E2" w:rsidP="003423E2" w:rsidRDefault="000E2DB5" w14:paraId="27235080" w14:textId="77777777">
      <w:pPr>
        <w:pStyle w:val="zGTC02"/>
        <w:rPr>
          <w:rFonts w:ascii="Arial" w:hAnsi="Arial" w:cs="Arial"/>
          <w:vanish/>
          <w:specVanish/>
        </w:rPr>
      </w:pPr>
      <w:bookmarkStart w:name="_Toc143607188" w:id="37"/>
      <w:bookmarkStart w:name="_Toc181639396" w:id="38"/>
      <w:bookmarkStart w:name="_Toc214644716" w:id="39"/>
      <w:r>
        <w:rPr>
          <w:rFonts w:ascii="Arial" w:hAnsi="Arial" w:cs="Arial"/>
        </w:rPr>
        <w:t>Closing.</w:t>
      </w:r>
      <w:bookmarkEnd w:id="37"/>
      <w:bookmarkEnd w:id="38"/>
      <w:bookmarkEnd w:id="39"/>
    </w:p>
    <w:p w:rsidRPr="00C83DF3" w:rsidR="000E2DB5" w:rsidP="003423E2" w:rsidRDefault="000E2DB5" w14:paraId="10D3F760" w14:textId="77777777">
      <w:pPr>
        <w:pStyle w:val="zGTC02"/>
        <w:keepNext/>
        <w:keepLines/>
        <w:numPr>
          <w:ilvl w:val="0"/>
          <w:numId w:val="0"/>
        </w:numPr>
        <w:rPr>
          <w:rFonts w:ascii="Arial" w:hAnsi="Arial" w:cs="Arial"/>
        </w:rPr>
      </w:pPr>
      <w:r>
        <w:rPr>
          <w:rFonts w:ascii="Arial" w:hAnsi="Arial" w:cs="Arial"/>
        </w:rPr>
        <w:t xml:space="preserve"> </w:t>
      </w:r>
    </w:p>
    <w:p w:rsidRPr="00C83DF3" w:rsidR="0029492C" w:rsidP="00B71D5E" w:rsidRDefault="00E53B2F" w14:paraId="2EC5CC2F" w14:textId="3DE25F0F">
      <w:pPr>
        <w:pStyle w:val="zGTC03"/>
        <w:keepLines/>
        <w:rPr>
          <w:rFonts w:cs="Arial"/>
        </w:rPr>
      </w:pPr>
      <w:r>
        <w:rPr>
          <w:rFonts w:cs="Arial"/>
          <w:b/>
          <w:bCs/>
        </w:rPr>
        <w:t>Closing Date.</w:t>
      </w:r>
      <w:r>
        <w:rPr>
          <w:rFonts w:cs="Arial"/>
        </w:rPr>
        <w:t xml:space="preserve"> The consummation of the transactions described in </w:t>
      </w:r>
      <w:r>
        <w:t>Section</w:t>
      </w:r>
      <w:r>
        <w:rPr>
          <w:rFonts w:cs="Arial"/>
        </w:rPr>
        <w:t xml:space="preserve"> 1 (</w:t>
      </w:r>
      <w:r>
        <w:rPr>
          <w:rFonts w:cs="Arial"/>
          <w:i/>
          <w:iCs/>
        </w:rPr>
        <w:t>Purchase and Sale</w:t>
      </w:r>
      <w:r>
        <w:rPr>
          <w:rFonts w:cs="Arial"/>
        </w:rPr>
        <w:t>) (“</w:t>
      </w:r>
      <w:r>
        <w:rPr>
          <w:rFonts w:cs="Arial"/>
          <w:b/>
          <w:bCs/>
        </w:rPr>
        <w:t>Closing</w:t>
      </w:r>
      <w:r>
        <w:rPr>
          <w:rFonts w:cs="Arial"/>
        </w:rPr>
        <w:t>”) will take place remotely via the electronic exchange of documents and signatures: (i) at 10:00 a.m. (Eastern Time) on the date that is three Business Days after the satisfaction or waiver of the last of the conditions set forth in Part 6 (</w:t>
      </w:r>
      <w:r>
        <w:rPr>
          <w:rFonts w:cs="Arial"/>
          <w:i/>
          <w:iCs/>
        </w:rPr>
        <w:t>Conditions Precedent</w:t>
      </w:r>
      <w:r>
        <w:rPr>
          <w:rFonts w:cs="Arial"/>
        </w:rPr>
        <w:t>) (other than those conditions that by their nature are to be satisfied at the Closing, but subject to the satisfaction or waiver of such conditions), subject to an additional 10-day extension at GPC’s election if a Schedule Update in accordance with Section 5.18.2 (</w:t>
      </w:r>
      <w:r>
        <w:rPr>
          <w:rFonts w:cs="Arial"/>
          <w:i/>
          <w:iCs/>
        </w:rPr>
        <w:t>Effect of Schedule Updates; GPC Termination Right</w:t>
      </w:r>
      <w:r>
        <w:rPr>
          <w:rFonts w:cs="Arial"/>
        </w:rPr>
        <w:t>) occurs less than 10 days before the Closing Date; or (ii) at another time, or on another date, as the Parties may agree in writing. The Closing will be deemed to be effective as of 12:01 a.m. (Eastern Time) on the Closing Date. All actions and deliverables that are taken or delivered</w:t>
      </w:r>
      <w:proofErr w:type="gramStart"/>
      <w:r>
        <w:rPr>
          <w:rFonts w:cs="Arial"/>
        </w:rPr>
        <w:t>, as the case may be, on</w:t>
      </w:r>
      <w:proofErr w:type="gramEnd"/>
      <w:r>
        <w:rPr>
          <w:rFonts w:cs="Arial"/>
        </w:rPr>
        <w:t xml:space="preserve"> the Closing Date will be deemed to occur simultaneously at the Closing. </w:t>
      </w:r>
    </w:p>
    <w:p w:rsidRPr="00C83DF3" w:rsidR="0029492C" w:rsidP="00B71D5E" w:rsidRDefault="00E53B2F" w14:paraId="7536E44A" w14:textId="77777777">
      <w:pPr>
        <w:pStyle w:val="zGTC03"/>
        <w:keepLines/>
        <w:rPr>
          <w:rStyle w:val="FootnoteReference"/>
          <w:rFonts w:cs="Arial"/>
        </w:rPr>
      </w:pPr>
      <w:r>
        <w:rPr>
          <w:rFonts w:cs="Arial"/>
          <w:b/>
          <w:bCs/>
        </w:rPr>
        <w:t>Payment of Purchase Price; Closing Deliveries.</w:t>
      </w:r>
      <w:r>
        <w:rPr>
          <w:rFonts w:cs="Arial"/>
        </w:rPr>
        <w:t xml:space="preserve"> At the Closing: (i) GPC will pay to Seller by wire transfer of immediately available funds to an account located in the United States as designated by Seller to GPC, at least two Business Days before the anticipated Closing Date, an amount equal to: (a) (I) the Base Purchase Price; </w:t>
      </w:r>
      <w:r>
        <w:rPr>
          <w:rFonts w:cs="Arial"/>
          <w:i/>
          <w:iCs/>
        </w:rPr>
        <w:t>plus or minus, as applicable</w:t>
      </w:r>
      <w:r>
        <w:rPr>
          <w:rFonts w:cs="Arial"/>
        </w:rPr>
        <w:t xml:space="preserve">; (II) Estimated Working Capital; </w:t>
      </w:r>
      <w:r>
        <w:rPr>
          <w:rFonts w:cs="Arial"/>
          <w:i/>
          <w:iCs/>
        </w:rPr>
        <w:t>minus</w:t>
      </w:r>
      <w:r>
        <w:rPr>
          <w:rFonts w:cs="Arial"/>
        </w:rPr>
        <w:t xml:space="preserve"> (b) all Seller’s Indebtedness related to the Facility paid directly to the holders of the Indebtedness under the terms of this APA (“</w:t>
      </w:r>
      <w:r>
        <w:rPr>
          <w:rFonts w:cs="Arial"/>
          <w:b/>
          <w:bCs/>
        </w:rPr>
        <w:t>Closing Purchase Price</w:t>
      </w:r>
      <w:r>
        <w:rPr>
          <w:rFonts w:cs="Arial"/>
        </w:rPr>
        <w:t xml:space="preserve">”); and (ii) the Parties will deliver, or cause to be delivered, the other deliverables in accordance with </w:t>
      </w:r>
      <w:r>
        <w:t>Section</w:t>
      </w:r>
      <w:r>
        <w:rPr>
          <w:rFonts w:cs="Arial"/>
        </w:rPr>
        <w:t xml:space="preserve"> 6.2.4 (</w:t>
      </w:r>
      <w:r>
        <w:rPr>
          <w:rFonts w:cs="Arial"/>
          <w:i/>
          <w:iCs/>
        </w:rPr>
        <w:t>Seller Closing Deliveries</w:t>
      </w:r>
      <w:r>
        <w:rPr>
          <w:rFonts w:cs="Arial"/>
        </w:rPr>
        <w:t xml:space="preserve">) and </w:t>
      </w:r>
      <w:r>
        <w:t>Section</w:t>
      </w:r>
      <w:r>
        <w:rPr>
          <w:rFonts w:cs="Arial"/>
        </w:rPr>
        <w:t xml:space="preserve"> 6.3.3 (</w:t>
      </w:r>
      <w:r>
        <w:rPr>
          <w:rFonts w:cs="Arial"/>
          <w:i/>
          <w:iCs/>
        </w:rPr>
        <w:t>GPC Closing Deliveries</w:t>
      </w:r>
      <w:r>
        <w:rPr>
          <w:rFonts w:cs="Arial"/>
        </w:rPr>
        <w:t>).</w:t>
      </w:r>
      <w:r>
        <w:t xml:space="preserve"> </w:t>
      </w:r>
    </w:p>
    <w:p w:rsidRPr="00C83DF3" w:rsidR="00C42A99" w:rsidP="00B71D5E" w:rsidRDefault="00C42A99" w14:paraId="55E0D415" w14:textId="08FFCD79">
      <w:pPr>
        <w:pStyle w:val="zGTC03"/>
        <w:keepLines/>
        <w:rPr>
          <w:rFonts w:cs="Arial"/>
        </w:rPr>
      </w:pPr>
      <w:bookmarkStart w:name="_Hlk142924412" w:id="40"/>
      <w:bookmarkStart w:name="_Toc138350346" w:id="41"/>
      <w:r>
        <w:rPr>
          <w:rFonts w:cs="Arial"/>
          <w:b/>
          <w:bCs/>
        </w:rPr>
        <w:t>Delay Liquidated Damages.</w:t>
      </w:r>
      <w:r>
        <w:rPr>
          <w:rFonts w:cs="Arial"/>
        </w:rPr>
        <w:t xml:space="preserve"> If Closing occurs after the Required Closing Date, other than due to: (i) a breach by GPC of its obligations under this APA</w:t>
      </w:r>
      <w:bookmarkStart w:name="_Hlk167310956" w:id="42"/>
      <w:r>
        <w:rPr>
          <w:rFonts w:cs="Arial"/>
        </w:rPr>
        <w:t>; (ii) a Casualty Loss under which Seller complies with the requirements of Section 5.17 (</w:t>
      </w:r>
      <w:r>
        <w:rPr>
          <w:rFonts w:cs="Arial"/>
          <w:i/>
          <w:iCs/>
        </w:rPr>
        <w:t>Casualty Loss</w:t>
      </w:r>
      <w:bookmarkEnd w:id="42"/>
      <w:r>
        <w:rPr>
          <w:rFonts w:cs="Arial"/>
        </w:rPr>
        <w:t>); or (iii) any failure (other than any failure that is  caused by any Seller breach under this APA) to satisfy any Condition Precedent in Section 6.1 (</w:t>
      </w:r>
      <w:r>
        <w:rPr>
          <w:rFonts w:cs="Arial"/>
          <w:i/>
          <w:iCs/>
        </w:rPr>
        <w:t>Conditions to Obligations of Each Party</w:t>
      </w:r>
      <w:r>
        <w:rPr>
          <w:rFonts w:cs="Arial"/>
        </w:rPr>
        <w:t>) or Section 6.3 (</w:t>
      </w:r>
      <w:r>
        <w:rPr>
          <w:rFonts w:cs="Arial"/>
          <w:i/>
          <w:iCs/>
        </w:rPr>
        <w:t>Conditions to Obligations of Seller</w:t>
      </w:r>
      <w:r>
        <w:rPr>
          <w:rFonts w:cs="Arial"/>
        </w:rPr>
        <w:t>), then Seller will be liable to GPC for liquidated damages, in accordance with Exhibit A-1 (</w:t>
      </w:r>
      <w:r>
        <w:rPr>
          <w:rFonts w:cs="Arial"/>
          <w:i/>
          <w:iCs/>
        </w:rPr>
        <w:t>Facility Information and Additional Details</w:t>
      </w:r>
      <w:r>
        <w:rPr>
          <w:rFonts w:cs="Arial"/>
        </w:rPr>
        <w:t>), per day for each day after the Required Closing Date until the Closing Date (“</w:t>
      </w:r>
      <w:r>
        <w:rPr>
          <w:rFonts w:cs="Arial"/>
          <w:b/>
          <w:bCs/>
        </w:rPr>
        <w:t>Delay Liquidated Damages</w:t>
      </w:r>
      <w:r>
        <w:rPr>
          <w:rFonts w:cs="Arial"/>
        </w:rPr>
        <w:t>”). To recover Delay Liquidated Damages owed under this Section 2.1.3 (</w:t>
      </w:r>
      <w:r>
        <w:rPr>
          <w:rFonts w:cs="Arial"/>
          <w:i/>
          <w:iCs/>
        </w:rPr>
        <w:t>Delay Liquidated Damages</w:t>
      </w:r>
      <w:r>
        <w:rPr>
          <w:rFonts w:cs="Arial"/>
        </w:rPr>
        <w:t xml:space="preserve">). GPC will either: (1) deduct the Delay Liquidated Damages from the Base Purchase Price paid to Seller at the Closing under </w:t>
      </w:r>
      <w:r>
        <w:t>Section</w:t>
      </w:r>
      <w:r>
        <w:rPr>
          <w:rFonts w:cs="Arial"/>
        </w:rPr>
        <w:t> 2.1.2 (</w:t>
      </w:r>
      <w:r>
        <w:rPr>
          <w:rFonts w:cs="Arial"/>
          <w:i/>
          <w:iCs/>
        </w:rPr>
        <w:t>Payment of Purchase Price; Closing Deliveries</w:t>
      </w:r>
      <w:r>
        <w:rPr>
          <w:rFonts w:cs="Arial"/>
        </w:rPr>
        <w:t xml:space="preserve">); or (2) GPC will invoice Seller for the Delay Liquidated Damages, and Seller must pay the Delay Liquidated Damages within five </w:t>
      </w:r>
      <w:r w:rsidR="00651039">
        <w:rPr>
          <w:rFonts w:cs="Arial"/>
        </w:rPr>
        <w:t>B</w:t>
      </w:r>
      <w:r>
        <w:rPr>
          <w:rFonts w:cs="Arial"/>
        </w:rPr>
        <w:t xml:space="preserve">usiness </w:t>
      </w:r>
      <w:r w:rsidR="00651039">
        <w:rPr>
          <w:rFonts w:cs="Arial"/>
        </w:rPr>
        <w:t>D</w:t>
      </w:r>
      <w:r>
        <w:rPr>
          <w:rFonts w:cs="Arial"/>
        </w:rPr>
        <w:t xml:space="preserve">ays. The Parties acknowledge and agree that: (I) the agreements contained in this </w:t>
      </w:r>
      <w:r>
        <w:t>Section</w:t>
      </w:r>
      <w:r>
        <w:rPr>
          <w:rFonts w:cs="Arial"/>
        </w:rPr>
        <w:t xml:space="preserve"> 2.1.3 are an integral part of the transactions contemplated by this APA; (II) it would be difficult or impossible to determine accurately the damages that GPC would incur if the Closing were to occur after the Required Closing Date; (III) the Parties have estimated and agreed that the Delay Liquidated Damages constitute a reasonable estimate of the monetary damages likely to be suffered by GPC under the circumstances; and (IV) the Delay Liquidated Damages are not a penalty. </w:t>
      </w:r>
    </w:p>
    <w:p w:rsidRPr="00C83DF3" w:rsidR="008B270F" w:rsidP="00B71D5E" w:rsidRDefault="00290E76" w14:paraId="2D35045E" w14:textId="77777777">
      <w:pPr>
        <w:pStyle w:val="zGTC03"/>
        <w:keepLines/>
        <w:rPr>
          <w:rFonts w:cs="Arial"/>
        </w:rPr>
      </w:pPr>
      <w:r>
        <w:rPr>
          <w:rFonts w:cs="Arial"/>
          <w:b/>
        </w:rPr>
        <w:t>Delay Caused by Casualty Loss</w:t>
      </w:r>
      <w:r>
        <w:rPr>
          <w:rStyle w:val="CommentReference"/>
          <w:rFonts w:ascii="Times New Roman" w:hAnsi="Times New Roman" w:eastAsia="Calibri"/>
          <w:b/>
          <w:bCs/>
          <w:kern w:val="0"/>
        </w:rPr>
        <w:t>.</w:t>
      </w:r>
      <w:r>
        <w:rPr>
          <w:rFonts w:cs="Arial"/>
          <w:b/>
          <w:bCs/>
        </w:rPr>
        <w:t xml:space="preserve"> </w:t>
      </w:r>
      <w:r>
        <w:rPr>
          <w:rFonts w:cs="Arial"/>
        </w:rPr>
        <w:t>If Closing occurs after the Required Closing Date because of a Casualty Loss and Seller Complies with the requirements of Section 5.17 (</w:t>
      </w:r>
      <w:r>
        <w:rPr>
          <w:rFonts w:cs="Arial"/>
          <w:i/>
          <w:iCs/>
        </w:rPr>
        <w:t>Casualty Loss</w:t>
      </w:r>
      <w:r>
        <w:rPr>
          <w:rFonts w:cs="Arial"/>
        </w:rPr>
        <w:t>), then GPC will have the right to: (i) delay the Closing Date; or (ii) terminate this APA in accordance with GPC’s rights under Section 5.17.</w:t>
      </w:r>
    </w:p>
    <w:p w:rsidRPr="00C83DF3" w:rsidR="001C3D1B" w:rsidP="001C3D1B" w:rsidRDefault="001C3D1B" w14:paraId="65F562B6" w14:textId="77777777">
      <w:pPr>
        <w:pStyle w:val="zGTC02"/>
        <w:keepLines/>
        <w:rPr>
          <w:rFonts w:ascii="Arial" w:hAnsi="Arial" w:cs="Arial"/>
          <w:vanish/>
          <w:specVanish/>
        </w:rPr>
      </w:pPr>
      <w:bookmarkStart w:name="_Toc165846755" w:id="43"/>
      <w:bookmarkStart w:name="_Toc181639397" w:id="44"/>
      <w:bookmarkStart w:name="_Toc214644717" w:id="45"/>
      <w:bookmarkStart w:name="_Toc143607189" w:id="46"/>
      <w:bookmarkEnd w:id="40"/>
      <w:r>
        <w:rPr>
          <w:rFonts w:ascii="Arial" w:hAnsi="Arial" w:cs="Arial"/>
        </w:rPr>
        <w:t>Working Capital Adjustment.</w:t>
      </w:r>
      <w:bookmarkEnd w:id="43"/>
      <w:bookmarkEnd w:id="44"/>
      <w:bookmarkEnd w:id="45"/>
    </w:p>
    <w:p w:rsidRPr="00C83DF3" w:rsidR="001C3D1B" w:rsidP="00653F5F" w:rsidRDefault="001C3D1B" w14:paraId="11D8D4C9" w14:textId="77777777">
      <w:pPr>
        <w:pStyle w:val="zGNormal"/>
        <w:spacing w:after="120"/>
      </w:pPr>
      <w:r>
        <w:t xml:space="preserve"> The Base Purchase Price will be increased or decreased, as applicable, to account for Closing Date Working Capital in accordance with </w:t>
      </w:r>
      <w:proofErr w:type="gramStart"/>
      <w:r>
        <w:t>this Section</w:t>
      </w:r>
      <w:proofErr w:type="gramEnd"/>
      <w:r>
        <w:t xml:space="preserve"> 2.2 (</w:t>
      </w:r>
      <w:r>
        <w:rPr>
          <w:i/>
          <w:iCs/>
        </w:rPr>
        <w:t>Working Capital Adjustment</w:t>
      </w:r>
      <w:r>
        <w:t>).</w:t>
      </w:r>
    </w:p>
    <w:p w:rsidRPr="00C83DF3" w:rsidR="001C3D1B" w:rsidP="001C3D1B" w:rsidRDefault="001C3D1B" w14:paraId="4667CF61" w14:textId="77777777">
      <w:pPr>
        <w:pStyle w:val="zGTC03"/>
      </w:pPr>
      <w:r>
        <w:rPr>
          <w:b/>
          <w:bCs/>
        </w:rPr>
        <w:t>Estimated Closing Adjustment Statement.</w:t>
      </w:r>
      <w:r>
        <w:t xml:space="preserve"> Not later than five Business Days before the Closing Date, Seller must deliver to GPC a statement setting forth in reasonable detail Seller’s good faith estimate of Closing Date Working Capital (“</w:t>
      </w:r>
      <w:r>
        <w:rPr>
          <w:b/>
          <w:bCs/>
        </w:rPr>
        <w:t>Estimated Closing Working Capital</w:t>
      </w:r>
      <w:r>
        <w:t xml:space="preserve">”), together with Seller’s calculations and applicable supporting documentation. Before the Closing, GPC and its Representatives will have an opportunity to conduct a good faith review of and consult with Seller regarding each element included in Seller’s calculation of Estimated Closing Working Capital. </w:t>
      </w:r>
    </w:p>
    <w:p w:rsidRPr="00C83DF3" w:rsidR="00802D17" w:rsidP="002478C5" w:rsidRDefault="001C3D1B" w14:paraId="178B8419" w14:textId="77777777">
      <w:pPr>
        <w:pStyle w:val="zGTC03"/>
      </w:pPr>
      <w:r>
        <w:rPr>
          <w:b/>
          <w:bCs/>
        </w:rPr>
        <w:t>Closing Adjustment Statement.</w:t>
      </w:r>
      <w:r>
        <w:t xml:space="preserve">  </w:t>
      </w:r>
      <w:bookmarkStart w:name="_Ref389682494" w:id="47"/>
      <w:bookmarkStart w:name="_Ref13541906" w:id="48"/>
      <w:r>
        <w:t>GPC will prepare and deliver to Seller no later than 90 days after the Closing Date a statement (“</w:t>
      </w:r>
      <w:r>
        <w:rPr>
          <w:b/>
          <w:bCs/>
        </w:rPr>
        <w:t>Closing Adjustment Statement</w:t>
      </w:r>
      <w:r>
        <w:t xml:space="preserve">”) setting forth in reasonable detail GPC’s good faith calculation of Closing Date Working Capital together with applicable supporting documentation for the Closing Date Working Capital; however, if an Outage Period that began on or before the Closing Date continues after Closing, then GPC will prepare and deliver to Seller the Closing </w:t>
      </w:r>
      <w:r>
        <w:lastRenderedPageBreak/>
        <w:t xml:space="preserve">Adjustment Statement by the later of: (i) 90 days after the Closing Date; or (ii) 60 days after the Outage Period terminates. </w:t>
      </w:r>
    </w:p>
    <w:p w:rsidRPr="00C83DF3" w:rsidR="00751C7C" w:rsidP="002478C5" w:rsidRDefault="00751C7C" w14:paraId="5E576DF9" w14:textId="77777777">
      <w:pPr>
        <w:pStyle w:val="zGTC03"/>
      </w:pPr>
      <w:r>
        <w:rPr>
          <w:b/>
          <w:bCs/>
        </w:rPr>
        <w:t>Objections; Independent Accountant Determination.</w:t>
      </w:r>
    </w:p>
    <w:p w:rsidRPr="00C83DF3" w:rsidR="001C3D1B" w:rsidP="00751C7C" w:rsidRDefault="00AE4EC5" w14:paraId="5B22E0D1" w14:textId="77777777">
      <w:pPr>
        <w:pStyle w:val="zGTC04"/>
      </w:pPr>
      <w:r>
        <w:rPr>
          <w:b/>
          <w:bCs/>
        </w:rPr>
        <w:t xml:space="preserve">Objection Notice and Review Period. </w:t>
      </w:r>
      <w:r>
        <w:t>If Seller objects to any item set forth on the Closing Adjustment Statement prepared and delivered in accordance with Section 2.2.2 (</w:t>
      </w:r>
      <w:r>
        <w:rPr>
          <w:i/>
          <w:iCs/>
        </w:rPr>
        <w:t>Closing Adjustment Statement</w:t>
      </w:r>
      <w:r>
        <w:t>), Seller must notify GPC in writing of the objections (“</w:t>
      </w:r>
      <w:r>
        <w:rPr>
          <w:b/>
          <w:bCs/>
        </w:rPr>
        <w:t>Objection Notice</w:t>
      </w:r>
      <w:r>
        <w:t>”) in reasonable detail (including the nature and basis for any of the objections and Seller’s calculations of the relevant items based on the objections) on or before the 30th day after Seller’s receipt of the Closing Adjustment Statement (“</w:t>
      </w:r>
      <w:r>
        <w:rPr>
          <w:b/>
          <w:bCs/>
        </w:rPr>
        <w:t>Review Period</w:t>
      </w:r>
      <w:r>
        <w:t>”). To the extent not set forth in any Objection Notice delivered during the Review Period, Seller will be deemed to have agreed with GPC’s calculation of all other items and amounts contained in the Closing Adjustment Statement. During the Review Period, GPC will provide Seller and Seller’s Representatives reasonable access to: (a) the relevant personnel of GPC and its Representatives who were responsible for preparation of the Closing Adjustment Statement; and (b) the Books and Records (in each case to the extent in GPC’s possession, but not otherwise in Seller’s possession) relating to the Closing Adjustment Statement, in each case as Seller may reasonably request for the purpose of reviewing the Closing Adjustment Statement; however, the access will be in a manner that does not materially interfere with the normal business operations of GPC or the Facility.</w:t>
      </w:r>
    </w:p>
    <w:p w:rsidRPr="00C83DF3" w:rsidR="00190EFD" w:rsidP="001C3D1B" w:rsidRDefault="00AE4EC5" w14:paraId="64179953" w14:textId="77777777">
      <w:pPr>
        <w:pStyle w:val="zGTC04"/>
      </w:pPr>
      <w:r>
        <w:rPr>
          <w:b/>
          <w:bCs/>
        </w:rPr>
        <w:t>Timely Objection; Independent Accountant Binding Determination.</w:t>
      </w:r>
      <w:r>
        <w:t xml:space="preserve"> Unless Seller objects to the Closing Adjustment Statement within the Review Period under </w:t>
      </w:r>
      <w:bookmarkStart w:name="_Hlk165560811" w:id="49"/>
      <w:r>
        <w:t>Section 2.2.3(i) (</w:t>
      </w:r>
      <w:r>
        <w:rPr>
          <w:i/>
          <w:iCs/>
        </w:rPr>
        <w:t>Objection Notice and Review Period</w:t>
      </w:r>
      <w:r>
        <w:t>)</w:t>
      </w:r>
      <w:bookmarkEnd w:id="49"/>
      <w:r>
        <w:t>, the Closing Adjustment Statement (and the amounts and calculations set forth in the Closing Adjustment Statement) as prepared and delivered by GPC in accordance with Section 2.2.2 (</w:t>
      </w:r>
      <w:r>
        <w:rPr>
          <w:i/>
          <w:iCs/>
        </w:rPr>
        <w:t>Closing Adjustment Statement</w:t>
      </w:r>
      <w:r>
        <w:t xml:space="preserve">) will become final and binding on GPC and Seller (and all other Persons claiming through them) at the end of the Review Period. If Seller delivers an Objection Notice within the Review Period, GPC and Seller will use their good faith efforts to agree on a resolution of such objections. Seller must provide GPC and GPC’s Representatives reasonable access to: (a) the relevant personnel of Seller and its Representatives who were responsible for preparation of the Objection Notice or the calculation of the Estimated Closing Working Capital; and (b) the Books and Records (to the extent in Seller’s possession but not otherwise in GPC’s possession) relating to the Objection Notice or the calculation of the Estimated Closing Working Capital, in each case as GPC may reasonably request for the purpose of reviewing Seller’s objections. </w:t>
      </w:r>
    </w:p>
    <w:p w:rsidRPr="00C83DF3" w:rsidR="001C3D1B" w:rsidP="00190EFD" w:rsidRDefault="001C3D1B" w14:paraId="7861F877" w14:textId="77777777">
      <w:pPr>
        <w:pStyle w:val="zGTC04"/>
        <w:numPr>
          <w:ilvl w:val="0"/>
          <w:numId w:val="0"/>
        </w:numPr>
        <w:ind w:left="1440"/>
      </w:pPr>
      <w:r>
        <w:t xml:space="preserve">If GPC and Seller have not agreed on a final and binding resolution of those objections within 30 days following the date of delivery of the Objection Notice, GPC and </w:t>
      </w:r>
      <w:proofErr w:type="gramStart"/>
      <w:r>
        <w:t>Seller each</w:t>
      </w:r>
      <w:proofErr w:type="gramEnd"/>
      <w:r>
        <w:t xml:space="preserve"> will have the right to submit any of the items that remain in dispute to the Independent Accountant for final and binding determination regarding the disputed items. Each Party will be entitled to submit in writing to the Independent Accountant its assertions regarding any such disputed items referred to the Independent Accountant for resolution, so long as the written assertion is delivered to the Independent Accountant and the other Party promptly after the disputed items have been referred to the Independent Accountant for resolution under this Section 2.2.3(ii) (</w:t>
      </w:r>
      <w:r>
        <w:rPr>
          <w:i/>
          <w:iCs/>
        </w:rPr>
        <w:t>Timely Objection; Independent Accountant Binding Determination</w:t>
      </w:r>
      <w:r>
        <w:t xml:space="preserve">). Only matters that were disputed in Seller’s Objection Notice and remain unresolved by the Parties will be submitted to the Independent Accountant. The calculations, items, or amounts submitted need not be the calculations, items, or amounts discussed in prior attempts to resolve differences during the 30 day period after receipt of the Objection Notice, but Seller may not submit any calculation, item, or amount that is more favorable to Seller than the corresponding calculation, item, or amount included in the Objection Notice, and GPC may not submit any calculation, item, or amount that is more favorable to GPC than the corresponding calculation, item or amount included in the Closing Adjustment Statement. The Independent Accountant will be instructed to: (I) make its determination based solely on the terms of this APA and any written materials the Parties submitted to it, and not to conduct any independent investigation regarding any disputed calculation, item, or amount; (II) reflect its final determination regarding any disputed items in the Closing Adjustment Statement submitted to the Independent Accountant in accordance with this Section 2.2.3(ii) in a definitive final Closing Adjustment Statement setting forth the final Closing Working Capital prepared by the Independent Accountant, which must be accompanied by the Independent Accountant’s written statement of findings and conclusions regarding the disputed items; and (III) make its determination as soon as practicable and in any event no later than 30 days after the submission </w:t>
      </w:r>
      <w:r>
        <w:lastRenderedPageBreak/>
        <w:t xml:space="preserve">of the dispute to it and must act as an expert and not an arbitrator. In resolving any the disputed items, the Independent Accountant may not assign a value to any </w:t>
      </w:r>
      <w:proofErr w:type="gramStart"/>
      <w:r>
        <w:t>particular item</w:t>
      </w:r>
      <w:proofErr w:type="gramEnd"/>
      <w:r>
        <w:t xml:space="preserve"> greater than the greatest value for the item claimed by either Party or less than the lowest value for the item claimed by either Party. The fees of the Independent Accountant incurred concerning the determination will be paid 50% by GPC and 50% by Seller, otherwise, each Party will bear and pay its own expenses regarding the resolution of any disputed matters submitted to the Independent Accountant.</w:t>
      </w:r>
    </w:p>
    <w:p w:rsidRPr="00C83DF3" w:rsidR="001C3D1B" w:rsidP="001C3D1B" w:rsidRDefault="001F4CED" w14:paraId="6185DBF9" w14:textId="77777777">
      <w:pPr>
        <w:pStyle w:val="zGTC04"/>
      </w:pPr>
      <w:r>
        <w:rPr>
          <w:b/>
          <w:bCs/>
        </w:rPr>
        <w:t xml:space="preserve">Definitions of Final Closing Adjustment Statement and Final Closing Working Capital. </w:t>
      </w:r>
      <w:r>
        <w:t>For purposes of this APA: (a) “</w:t>
      </w:r>
      <w:r>
        <w:rPr>
          <w:b/>
          <w:bCs/>
        </w:rPr>
        <w:t>Final Closing Adjustment Statement</w:t>
      </w:r>
      <w:r>
        <w:t>” means the Closing Adjustment Statement delivered in accordance with Section 2.2.2 (</w:t>
      </w:r>
      <w:r>
        <w:rPr>
          <w:i/>
          <w:iCs/>
        </w:rPr>
        <w:t>Closing Adjustment Statement</w:t>
      </w:r>
      <w:r>
        <w:t>) as subsequently adjusted, if applicable, in accordance with this Section 2.2.3 (</w:t>
      </w:r>
      <w:r>
        <w:rPr>
          <w:i/>
          <w:iCs/>
        </w:rPr>
        <w:t>Objections; Independent Accountant Determination</w:t>
      </w:r>
      <w:r>
        <w:t>) to reflect any subsequent written agreement among the Parties with respect thereto or, if submitted to the Independent Accountant, any amendments or modifications to the Closing Adjustment Statement decided by the Independent Accountant; and (b) “</w:t>
      </w:r>
      <w:r>
        <w:rPr>
          <w:b/>
          <w:bCs/>
        </w:rPr>
        <w:t>Final Closing Working Capital</w:t>
      </w:r>
      <w:r>
        <w:t>” means the Closing Working Capital as finally determined in accordance with this Section 2.2.3.</w:t>
      </w:r>
    </w:p>
    <w:p w:rsidRPr="00C83DF3" w:rsidR="001C3D1B" w:rsidP="001C3D1B" w:rsidRDefault="001C3D1B" w14:paraId="6754CB47" w14:textId="77777777">
      <w:pPr>
        <w:pStyle w:val="zGTC03"/>
      </w:pPr>
      <w:r>
        <w:rPr>
          <w:b/>
          <w:bCs/>
        </w:rPr>
        <w:t>Settlement of Final Closing Adjustment.</w:t>
      </w:r>
      <w:r>
        <w:t xml:space="preserve"> </w:t>
      </w:r>
    </w:p>
    <w:p w:rsidRPr="00C83DF3" w:rsidR="001C3D1B" w:rsidP="001C3D1B" w:rsidRDefault="009D52AB" w14:paraId="3B074B3E" w14:textId="77777777">
      <w:pPr>
        <w:pStyle w:val="zGTC04"/>
      </w:pPr>
      <w:r>
        <w:rPr>
          <w:b/>
          <w:bCs/>
        </w:rPr>
        <w:t>Final Closing Working Capital Greater Than Estimated Closing Working Capital.</w:t>
      </w:r>
      <w:r>
        <w:t xml:space="preserve"> If the Final Closing Working Capital is greater than the Estimated Closing Working Capital, then on or before the fifth Business Day after the determination of the Final Closing Working Capital becomes final and binding, GPC will deliver to Seller an amount equal to the excess of the Final Closing Working Capital over the Estimated Closing Working Capital, by wire transfer of immediately available funds to an account located in the United States as designated by Seller to GPC.</w:t>
      </w:r>
    </w:p>
    <w:p w:rsidRPr="00C83DF3" w:rsidR="001C3D1B" w:rsidP="001C3D1B" w:rsidRDefault="009D52AB" w14:paraId="21DE6B4F" w14:textId="77777777">
      <w:pPr>
        <w:pStyle w:val="zGTC04"/>
      </w:pPr>
      <w:r>
        <w:rPr>
          <w:b/>
          <w:bCs/>
        </w:rPr>
        <w:t>Final Closing Working Capital Less Than Estimated Closing Working Capital.</w:t>
      </w:r>
      <w:r>
        <w:t xml:space="preserve"> If the Final Closing Working Capital is less than the Estimated Closing Working Capital, then on or before the fifth Business Day after the determination of the Final Closing Working Capital becomes final and binding, Seller must deliver to GPC an amount equal to the excess of the Estimated Closing Working Capital over the Final Closing Working Capital, by wire transfer of immediately available funds to an account located in the United States as designated by GPC to Seller.</w:t>
      </w:r>
    </w:p>
    <w:p w:rsidRPr="00C83DF3" w:rsidR="001C3D1B" w:rsidP="001C3D1B" w:rsidRDefault="00101B19" w14:paraId="6CC76ABF" w14:textId="77777777">
      <w:pPr>
        <w:pStyle w:val="zGTC03"/>
      </w:pPr>
      <w:r>
        <w:rPr>
          <w:b/>
          <w:bCs/>
        </w:rPr>
        <w:t xml:space="preserve">No Duplicate Adjustments. </w:t>
      </w:r>
      <w:r>
        <w:t>Despite any other provision in this APA, any adjustment to the Base Purchase Price made in accordance with this APA, including under Section 2.2 (</w:t>
      </w:r>
      <w:r>
        <w:rPr>
          <w:i/>
          <w:iCs/>
        </w:rPr>
        <w:t>Working Capital Adjustment</w:t>
      </w:r>
      <w:r>
        <w:t>) and Section 5.17 (</w:t>
      </w:r>
      <w:r>
        <w:rPr>
          <w:i/>
          <w:iCs/>
        </w:rPr>
        <w:t>Casualty Loss</w:t>
      </w:r>
      <w:r>
        <w:t>), as applicable, will be made so as to avoid duplication of any items, and will not include items, to the extent otherwise contemplated, in connection with any other adjustments to the Base Purchase Price made pursuant to this APA</w:t>
      </w:r>
      <w:r>
        <w:rPr>
          <w:rFonts w:cs="Arial"/>
        </w:rPr>
        <w:t>.</w:t>
      </w:r>
    </w:p>
    <w:p w:rsidRPr="00C83DF3" w:rsidR="00A25235" w:rsidP="00A25235" w:rsidRDefault="00A25235" w14:paraId="3957124E" w14:textId="77777777">
      <w:pPr>
        <w:pStyle w:val="zGTC02"/>
        <w:widowControl w:val="0"/>
        <w:rPr>
          <w:rFonts w:ascii="Arial" w:hAnsi="Arial" w:cs="Arial"/>
          <w:vanish/>
          <w:specVanish/>
        </w:rPr>
      </w:pPr>
      <w:bookmarkStart w:name="_Toc166143205" w:id="50"/>
      <w:bookmarkStart w:name="_Toc181639398" w:id="51"/>
      <w:bookmarkStart w:name="_Toc214644718" w:id="52"/>
      <w:bookmarkEnd w:id="41"/>
      <w:bookmarkEnd w:id="46"/>
      <w:bookmarkEnd w:id="47"/>
      <w:bookmarkEnd w:id="48"/>
      <w:r>
        <w:rPr>
          <w:rFonts w:ascii="Arial" w:hAnsi="Arial" w:cs="Arial"/>
        </w:rPr>
        <w:t>Allocation of Purchase Price.</w:t>
      </w:r>
      <w:bookmarkEnd w:id="50"/>
      <w:bookmarkEnd w:id="51"/>
      <w:bookmarkEnd w:id="52"/>
    </w:p>
    <w:p w:rsidR="00560520" w:rsidP="00093264" w:rsidRDefault="00093264" w14:paraId="5C6609FC" w14:textId="77777777">
      <w:pPr>
        <w:pStyle w:val="zGNormal6"/>
      </w:pPr>
      <w:r>
        <w:t xml:space="preserve"> </w:t>
      </w:r>
    </w:p>
    <w:p w:rsidRPr="00807E1E" w:rsidR="00560520" w:rsidP="001949D4" w:rsidRDefault="00FD45C7" w14:paraId="5199E59B" w14:textId="048B5548">
      <w:pPr>
        <w:pStyle w:val="zGTC03"/>
      </w:pPr>
      <w:r>
        <w:rPr>
          <w:b/>
          <w:bCs/>
        </w:rPr>
        <w:t xml:space="preserve">Purchase Price Allocation Schedule. </w:t>
      </w:r>
      <w:r>
        <w:t>The Purchase Price and Assumed Liabilities will be allocated among the Facility Assets as set forth on a schedule that will comply with Section 1060 of the Code and will be finally determined in accordance with this Section 2.3 (</w:t>
      </w:r>
      <w:r>
        <w:rPr>
          <w:i/>
          <w:iCs/>
        </w:rPr>
        <w:t>Allocation of Purchase Price</w:t>
      </w:r>
      <w:r>
        <w:t>) (“</w:t>
      </w:r>
      <w:r>
        <w:rPr>
          <w:b/>
          <w:bCs/>
        </w:rPr>
        <w:t>Purchase Price Allocation Schedule</w:t>
      </w:r>
      <w:r>
        <w:t xml:space="preserve">”). GPC will share with Seller a draft Purchase Price Allocation Schedule </w:t>
      </w:r>
      <w:r w:rsidRPr="00807E1E">
        <w:t xml:space="preserve">within 90 days after the Closing. </w:t>
      </w:r>
    </w:p>
    <w:p w:rsidR="00E8437C" w:rsidP="001949D4" w:rsidRDefault="008F7A94" w14:paraId="180A5C14" w14:textId="5B3D4ACF">
      <w:pPr>
        <w:pStyle w:val="zGTC03"/>
      </w:pPr>
      <w:r w:rsidRPr="00807E1E">
        <w:rPr>
          <w:b/>
          <w:bCs/>
        </w:rPr>
        <w:t xml:space="preserve">Objections and Resolution. </w:t>
      </w:r>
      <w:r w:rsidRPr="00807E1E">
        <w:t>If, within 30 days after Seller’s receipt of the draft Purchase Price Allocation Schedule (“</w:t>
      </w:r>
      <w:r w:rsidRPr="00807E1E">
        <w:rPr>
          <w:b/>
          <w:bCs/>
        </w:rPr>
        <w:t>Purchase Price Allocation Review Period</w:t>
      </w:r>
      <w:r w:rsidRPr="00807E1E">
        <w:t>”), Seller notifies GPC in writing that Seller objects to one or more items in the draft Purchase Price Allocation (“</w:t>
      </w:r>
      <w:r w:rsidRPr="00807E1E">
        <w:rPr>
          <w:b/>
          <w:bCs/>
        </w:rPr>
        <w:t>Purchase Price Allocation Objection Notice</w:t>
      </w:r>
      <w:r w:rsidRPr="00807E1E">
        <w:t>”), Seller and GPC will negotiate in good faith to resolve the dispute. If Seller does not deliver any Purchase Price Allocation Objection Notice before the expiration of the Purchase Price Allocation Review Period, Seller will be deemed to have accepted GPC’s allocations in the draft Purchase Price Allocation Schedule. If GPC and Seller have not agreed on a final and binding resolution of any objection set forth in a Purchase Price Allocation Objection Notice within 30 days after</w:t>
      </w:r>
      <w:r>
        <w:t xml:space="preserve"> the date of delivery of the Purchase Price Allocation Objection Notice, GPC and Seller each will have the right to submit any items that remain in dispute to the Independent Accountant for final and binding determination and the procedures set forth in Section 2.2.3 (</w:t>
      </w:r>
      <w:r>
        <w:rPr>
          <w:i/>
          <w:iCs/>
        </w:rPr>
        <w:t xml:space="preserve">Objections; Independent Accountant </w:t>
      </w:r>
      <w:r>
        <w:t xml:space="preserve">Determination) will control. The fees of the Independent Accountant incurred concerning the determination of the Purchase Price Allocation Schedule will be paid 50% by GPC and 50% by Seller, otherwise, each Party will bear and pay </w:t>
      </w:r>
      <w:r>
        <w:lastRenderedPageBreak/>
        <w:t xml:space="preserve">its own expenses regarding the resolution of any disputed matters submitted to the Independent Accountant. </w:t>
      </w:r>
    </w:p>
    <w:p w:rsidRPr="00C83DF3" w:rsidR="0029492C" w:rsidP="001949D4" w:rsidRDefault="00563BAA" w14:paraId="607B2CE7" w14:textId="50496648">
      <w:pPr>
        <w:pStyle w:val="zGTC03"/>
      </w:pPr>
      <w:r>
        <w:rPr>
          <w:b/>
          <w:bCs/>
        </w:rPr>
        <w:t xml:space="preserve">Tax Filing. </w:t>
      </w:r>
      <w:r>
        <w:t xml:space="preserve">Seller and GPC will each file their respective Tax Returns in accordance with the </w:t>
      </w:r>
      <w:r w:rsidR="0004659F">
        <w:t xml:space="preserve">final </w:t>
      </w:r>
      <w:r>
        <w:t>Purchase Price Allocation Schedule. GPC and Seller will make all Tax Returns, reports, forms, declarations, claims, and other statements in a manner consistent with the Purchase Price Allocation Schedule and will promptly notify the other Party if it becomes aware of any audit, investigation, or proceeding relating to the Purchase Price allocation.</w:t>
      </w:r>
    </w:p>
    <w:p w:rsidRPr="00C83DF3" w:rsidR="0029492C" w:rsidP="006D127F" w:rsidRDefault="0029492C" w14:paraId="70767840" w14:textId="77777777">
      <w:pPr>
        <w:pStyle w:val="zGTC02"/>
        <w:widowControl w:val="0"/>
        <w:rPr>
          <w:rFonts w:ascii="Arial" w:hAnsi="Arial" w:cs="Arial"/>
          <w:vanish/>
          <w:specVanish/>
        </w:rPr>
      </w:pPr>
      <w:bookmarkStart w:name="_Toc138350347" w:id="53"/>
      <w:bookmarkStart w:name="_Toc143607190" w:id="54"/>
      <w:bookmarkStart w:name="_Toc181639399" w:id="55"/>
      <w:bookmarkStart w:name="_Toc214644719" w:id="56"/>
      <w:r>
        <w:rPr>
          <w:rFonts w:ascii="Arial" w:hAnsi="Arial" w:cs="Arial"/>
        </w:rPr>
        <w:t>Withholding.</w:t>
      </w:r>
      <w:bookmarkEnd w:id="53"/>
      <w:bookmarkEnd w:id="54"/>
      <w:bookmarkEnd w:id="55"/>
      <w:bookmarkEnd w:id="56"/>
    </w:p>
    <w:p w:rsidRPr="00B71D5E" w:rsidR="0029492C" w:rsidP="006D127F" w:rsidRDefault="0029492C" w14:paraId="0BF02364" w14:textId="77777777">
      <w:pPr>
        <w:pStyle w:val="zGNormal"/>
        <w:widowControl w:val="0"/>
        <w:spacing w:after="120"/>
      </w:pPr>
      <w:r>
        <w:t xml:space="preserve"> Each of Seller and GPC will be entitled to deduct and withhold from payment of the Purchase Price, or any other amounts (or any portion thereof) payable pursuant to this APA, any amount that is required to be deducted and withheld with respect to the making of such payment under the Code or any other applicable Tax law. Any Party that expects to withhold (or expects its agent to withhold) any amount will provide notice of the expected withholding at least 15 Business Days before the withholding to the Party with respect to which the withholding is to be made (and the notice will include the legal authority and the calculation method for the expected withholding), and the Parties will use commercially reasonable efforts to cooperate to minimize the amount of withholding. If amounts are withheld, the withheld amounts will be paid by the withholding party to the relevant Taxing Authority and will be treated for all purposes of this APA as having been paid to the Party to whom the amounts would otherwise have been paid.</w:t>
      </w:r>
    </w:p>
    <w:p w:rsidRPr="00B71D5E" w:rsidR="00B71AF7" w:rsidP="00B71AF7" w:rsidRDefault="00B71AF7" w14:paraId="168A7BC9" w14:textId="77777777">
      <w:pPr>
        <w:pStyle w:val="zGTC01"/>
        <w:keepLines/>
        <w:spacing w:before="120"/>
        <w:rPr>
          <w:rFonts w:ascii="Arial" w:hAnsi="Arial"/>
        </w:rPr>
      </w:pPr>
      <w:bookmarkStart w:name="_Toc138350348" w:id="57"/>
      <w:bookmarkStart w:name="_Toc143607191" w:id="58"/>
      <w:bookmarkStart w:name="_Toc143607302" w:id="59"/>
      <w:bookmarkStart w:name="_Toc169777884" w:id="60"/>
      <w:bookmarkStart w:name="_Toc181639400" w:id="61"/>
      <w:bookmarkStart w:name="_Toc214644720" w:id="62"/>
      <w:r>
        <w:rPr>
          <w:rFonts w:ascii="Arial" w:hAnsi="Arial"/>
        </w:rPr>
        <w:t>Representations and Warranties of Seller</w:t>
      </w:r>
      <w:bookmarkEnd w:id="57"/>
      <w:bookmarkEnd w:id="58"/>
      <w:bookmarkEnd w:id="59"/>
      <w:bookmarkEnd w:id="60"/>
      <w:bookmarkEnd w:id="61"/>
      <w:bookmarkEnd w:id="62"/>
    </w:p>
    <w:p w:rsidRPr="00B71D5E" w:rsidR="00B71AF7" w:rsidP="00B71AF7" w:rsidRDefault="00B71AF7" w14:paraId="59BB9A4C" w14:textId="0C942C88">
      <w:pPr>
        <w:pStyle w:val="zGNormal"/>
        <w:keepNext/>
        <w:keepLines/>
        <w:spacing w:after="120"/>
      </w:pPr>
      <w:r>
        <w:t xml:space="preserve">Seller represents and warrants to GPC as of the </w:t>
      </w:r>
      <w:r w:rsidR="002E1440">
        <w:t>Effective Date</w:t>
      </w:r>
      <w:r>
        <w:t xml:space="preserve"> and as of the Closing Date </w:t>
      </w:r>
      <w:r w:rsidR="0092079E">
        <w:t>(</w:t>
      </w:r>
      <w:r>
        <w:t xml:space="preserve">except for those representations and warranties made as of a </w:t>
      </w:r>
      <w:r w:rsidR="0032221B">
        <w:t>specified</w:t>
      </w:r>
      <w:r>
        <w:t xml:space="preserve"> date</w:t>
      </w:r>
      <w:r w:rsidR="00375B56">
        <w:t xml:space="preserve">, </w:t>
      </w:r>
      <w:r w:rsidR="0032221B">
        <w:t>w</w:t>
      </w:r>
      <w:r w:rsidR="00D902F8">
        <w:t>ith respect to which Seller represents and warrants to GPC as of that specified date)</w:t>
      </w:r>
      <w:r>
        <w:t xml:space="preserve"> as follows: </w:t>
      </w:r>
      <w:r>
        <w:rPr>
          <w:highlight w:val="cyan"/>
        </w:rPr>
        <w:t>[</w:t>
      </w:r>
      <w:r>
        <w:rPr>
          <w:b/>
          <w:bCs/>
          <w:i/>
          <w:iCs/>
          <w:highlight w:val="cyan"/>
          <w:u w:val="single"/>
        </w:rPr>
        <w:t>Note to Bidders</w:t>
      </w:r>
      <w:r>
        <w:rPr>
          <w:b/>
          <w:bCs/>
          <w:i/>
          <w:iCs/>
          <w:highlight w:val="cyan"/>
        </w:rPr>
        <w:t>: Sections in this Part 3 (Representations and Warranties of Seller) will be modified as necessary to address Seller entity (e.g., Seller is not a special purpose entity)</w:t>
      </w:r>
      <w:r>
        <w:rPr>
          <w:b/>
          <w:bCs/>
          <w:highlight w:val="cyan"/>
        </w:rPr>
        <w:t>]</w:t>
      </w:r>
    </w:p>
    <w:p w:rsidRPr="00B71D5E" w:rsidR="00B71AF7" w:rsidP="00B71AF7" w:rsidRDefault="00B71AF7" w14:paraId="0D1B2C01" w14:textId="77777777">
      <w:pPr>
        <w:pStyle w:val="zGTC02"/>
        <w:keepNext/>
        <w:keepLines/>
        <w:rPr>
          <w:rFonts w:ascii="Arial" w:hAnsi="Arial" w:cs="Arial"/>
        </w:rPr>
      </w:pPr>
      <w:bookmarkStart w:name="_Toc138350349" w:id="63"/>
      <w:bookmarkStart w:name="_Toc143607192" w:id="64"/>
      <w:bookmarkStart w:name="_Toc169777885" w:id="65"/>
      <w:bookmarkStart w:name="_Toc181639401" w:id="66"/>
      <w:bookmarkStart w:name="_Toc214644721" w:id="67"/>
      <w:r>
        <w:rPr>
          <w:rFonts w:ascii="Arial" w:hAnsi="Arial" w:cs="Arial"/>
        </w:rPr>
        <w:t>Organization; Existence; Limited Purpose.</w:t>
      </w:r>
      <w:bookmarkEnd w:id="63"/>
      <w:bookmarkEnd w:id="64"/>
      <w:bookmarkEnd w:id="65"/>
      <w:bookmarkEnd w:id="66"/>
      <w:bookmarkEnd w:id="67"/>
    </w:p>
    <w:p w:rsidRPr="00C83DF3" w:rsidR="00B71AF7" w:rsidP="00B71AF7" w:rsidRDefault="00B71AF7" w14:paraId="6673E665" w14:textId="77777777">
      <w:pPr>
        <w:pStyle w:val="zGTC03"/>
        <w:keepLines/>
        <w:rPr>
          <w:rFonts w:cs="Arial"/>
        </w:rPr>
      </w:pPr>
      <w:r>
        <w:rPr>
          <w:rFonts w:cs="Arial"/>
          <w:b/>
          <w:bCs/>
        </w:rPr>
        <w:t>Organization and Existence.</w:t>
      </w:r>
      <w:r>
        <w:rPr>
          <w:rFonts w:cs="Arial"/>
        </w:rPr>
        <w:t xml:space="preserve"> As described in Exhibit A-1 (</w:t>
      </w:r>
      <w:r>
        <w:rPr>
          <w:rFonts w:cs="Arial"/>
          <w:i/>
          <w:iCs/>
        </w:rPr>
        <w:t>Facility Information and Additional Details</w:t>
      </w:r>
      <w:r>
        <w:rPr>
          <w:rFonts w:cs="Arial"/>
        </w:rPr>
        <w:t>), Seller is duly formed, validly existing, and in good standing under the laws of the state specified in Exhibit A-1, with all requisite business entity power and authority required to: (i) own, lease, and operate its assets and properties (including the Facility and the Facility Assets) where the assets and properties are currently owned, leased, and operated; and (ii) carry on its business as it is currently being conducted. Seller is duly qualified or licensed to do business and is in good standing in each jurisdiction in which the character of the properties owned or held under lease by it or the nature of the business transacted by it makes qualification necessary, except where the failure to be so qualified, licensed, or in good standing would not reasonably be expected to have a Seller Material Adverse Effect;</w:t>
      </w:r>
    </w:p>
    <w:p w:rsidRPr="00C83DF3" w:rsidR="00B71AF7" w:rsidP="00B71AF7" w:rsidRDefault="00B71AF7" w14:paraId="075AAE33" w14:textId="405F85BE">
      <w:pPr>
        <w:pStyle w:val="zGTC03"/>
        <w:keepLines/>
        <w:rPr>
          <w:rFonts w:cs="Arial"/>
        </w:rPr>
      </w:pPr>
      <w:r>
        <w:rPr>
          <w:rFonts w:cs="Arial"/>
          <w:b/>
          <w:bCs/>
        </w:rPr>
        <w:t>Organizational Documents.</w:t>
      </w:r>
      <w:r>
        <w:rPr>
          <w:rFonts w:cs="Arial"/>
        </w:rPr>
        <w:t xml:space="preserve"> True and complete copies of the Organizational Documents of Seller (as amended as of the </w:t>
      </w:r>
      <w:r w:rsidR="002E1440">
        <w:rPr>
          <w:rFonts w:cs="Arial"/>
        </w:rPr>
        <w:t>Effective Date)</w:t>
      </w:r>
      <w:r>
        <w:rPr>
          <w:rFonts w:cs="Arial"/>
        </w:rPr>
        <w:t xml:space="preserve"> have been made available to GPC. The Organizational Documents of Seller are in full force and effect, and Seller is not in violation of its Organizational Documents; and</w:t>
      </w:r>
    </w:p>
    <w:p w:rsidRPr="00C83DF3" w:rsidR="00B71AF7" w:rsidP="00B71AF7" w:rsidRDefault="00B71AF7" w14:paraId="3CD99785" w14:textId="77777777">
      <w:pPr>
        <w:pStyle w:val="zGTC03"/>
        <w:keepLines/>
        <w:rPr>
          <w:rFonts w:cs="Arial"/>
        </w:rPr>
      </w:pPr>
      <w:r>
        <w:rPr>
          <w:rFonts w:cs="Arial"/>
          <w:b/>
          <w:bCs/>
        </w:rPr>
        <w:t>Limited Purpose.</w:t>
      </w:r>
      <w:r>
        <w:rPr>
          <w:rFonts w:cs="Arial"/>
        </w:rPr>
        <w:t xml:space="preserve"> Since its formation, Seller has engaged solely in the business of developing, designing, engineering, constructing, interconnecting, commissioning, completing, owning, operating, and maintaining the Facility.</w:t>
      </w:r>
    </w:p>
    <w:p w:rsidRPr="00C83DF3" w:rsidR="00B71AF7" w:rsidP="00B71AF7" w:rsidRDefault="00B71AF7" w14:paraId="02969D9D" w14:textId="77777777">
      <w:pPr>
        <w:pStyle w:val="zGTC02"/>
        <w:keepLines/>
        <w:rPr>
          <w:rFonts w:ascii="Arial" w:hAnsi="Arial" w:cs="Arial"/>
          <w:vanish/>
          <w:specVanish/>
        </w:rPr>
      </w:pPr>
      <w:bookmarkStart w:name="_Toc138350350" w:id="68"/>
      <w:bookmarkStart w:name="_Toc143607193" w:id="69"/>
      <w:bookmarkStart w:name="_Toc169777886" w:id="70"/>
      <w:bookmarkStart w:name="_Toc181639402" w:id="71"/>
      <w:bookmarkStart w:name="_Toc214644722" w:id="72"/>
      <w:r>
        <w:rPr>
          <w:rFonts w:ascii="Arial" w:hAnsi="Arial" w:cs="Arial"/>
        </w:rPr>
        <w:t>Authorization; Enforceability.</w:t>
      </w:r>
      <w:bookmarkEnd w:id="68"/>
      <w:bookmarkEnd w:id="69"/>
      <w:bookmarkEnd w:id="70"/>
      <w:bookmarkEnd w:id="71"/>
      <w:bookmarkEnd w:id="72"/>
    </w:p>
    <w:p w:rsidRPr="00C83DF3" w:rsidR="00B71AF7" w:rsidP="00B71AF7" w:rsidRDefault="00B71AF7" w14:paraId="672950C5" w14:textId="77777777">
      <w:pPr>
        <w:pStyle w:val="zGNormal"/>
        <w:keepLines/>
        <w:spacing w:after="120"/>
      </w:pPr>
      <w:r>
        <w:t xml:space="preserve"> Seller has full business entity power and authority to </w:t>
      </w:r>
      <w:proofErr w:type="gramStart"/>
      <w:r>
        <w:t>enter into</w:t>
      </w:r>
      <w:proofErr w:type="gramEnd"/>
      <w:r>
        <w:t xml:space="preserve"> this APA and the other Transaction Documents to which it is or will be a party, to perform its obligations under this APA, and to consummate the transactions contemplated by this APA and the other Transaction Documents. The execution, delivery and performance by Seller of this APA and the other Transaction Documents to which it is, or will be, a party, and the consummation by Seller of the transactions contemplated by this APA and the other Transaction Documents, have been (or will be when delivered) duly authorized by all necessary business entity action on the part of Seller. This APA and each other Transaction Document to which it is or will be a party: (i) have been (or will be when delivered) duly and validly executed and delivered by Seller; and (ii) constitute (or will constitute when delivered) (assuming the due execution and delivery thereof by GPC or its Affiliates, as applicable) valid and legally binding obligations of Seller, enforceable against Seller in accordance with their terms, subject to the Remedies Exception. No other business entity action is required on the part of Seller to authorize or approve this APA or the other Transaction Documents to which it is or will be a party, the performance of its obligations under this APA or the other Transaction Documents, or the consummation by Seller of the transactions contemplated by this APA or the other Transaction Documents.</w:t>
      </w:r>
    </w:p>
    <w:p w:rsidRPr="00C83DF3" w:rsidR="00B71AF7" w:rsidP="00B71AF7" w:rsidRDefault="00B71AF7" w14:paraId="370C9360" w14:textId="77777777">
      <w:pPr>
        <w:pStyle w:val="zGTC02"/>
        <w:rPr>
          <w:rFonts w:ascii="Arial" w:hAnsi="Arial" w:cs="Arial"/>
          <w:vanish/>
          <w:specVanish/>
        </w:rPr>
      </w:pPr>
      <w:bookmarkStart w:name="_Toc138350351" w:id="73"/>
      <w:bookmarkStart w:name="_Toc143607194" w:id="74"/>
      <w:bookmarkStart w:name="_Toc169777887" w:id="75"/>
      <w:bookmarkStart w:name="_Toc181639403" w:id="76"/>
      <w:bookmarkStart w:name="_Toc214644723" w:id="77"/>
      <w:r>
        <w:rPr>
          <w:rFonts w:ascii="Arial" w:hAnsi="Arial" w:cs="Arial"/>
        </w:rPr>
        <w:lastRenderedPageBreak/>
        <w:t>No Conflicts.</w:t>
      </w:r>
      <w:bookmarkEnd w:id="73"/>
      <w:bookmarkEnd w:id="74"/>
      <w:bookmarkEnd w:id="75"/>
      <w:bookmarkEnd w:id="76"/>
      <w:bookmarkEnd w:id="77"/>
    </w:p>
    <w:p w:rsidRPr="00C83DF3" w:rsidR="00B71AF7" w:rsidP="00B71AF7" w:rsidRDefault="00B71AF7" w14:paraId="787E9360" w14:textId="79B6EB29">
      <w:pPr>
        <w:pStyle w:val="zGNormal"/>
        <w:spacing w:after="120"/>
      </w:pPr>
      <w:r>
        <w:t xml:space="preserve"> Except as set forth in Section 3.3 of the Seller Disclosure Schedule, the execution, delivery, and performance of this APA and the other Transaction Documents to which Seller is or will be a party do not, and the consummation by Seller of the transactions contemplated by this APA and the other Transaction Documents will not: (i) contravene or violate any provision of the Organizational Documents of Seller; (ii) subject to obtaining the </w:t>
      </w:r>
      <w:r w:rsidR="006012DF">
        <w:t>c</w:t>
      </w:r>
      <w:r>
        <w:t xml:space="preserve">onsents set forth in Section 3.3 or Section 3.4 of the Seller Disclosure Schedule, conflict with or result in a violation or breach of any term or provision of any laws applicable to: (a) Seller; (b) the Facility; or (c) the Facility Assets; (iii) contravene or violate any provision of, or result in the termination or acceleration of, or entitle any party to accelerate any obligation or Indebtedness under, or require the </w:t>
      </w:r>
      <w:r w:rsidR="00CB0C52">
        <w:t>c</w:t>
      </w:r>
      <w:r>
        <w:t>onsent of any Person under, or give any person the right to terminate or modify, any Contract or Permit to which Seller is a party, or by which Seller is bound, or that relates to the Facility or the Facility Assets; or (iv) result in the imposition or creation of any Lien upon or with respect to the Facility or the Facility Assets (other than Permitted Liens), except, in the case of subpart (iii), as would not, individually or in the aggregate, reasonably be expected to have a Seller Material Adverse Effect.</w:t>
      </w:r>
    </w:p>
    <w:p w:rsidRPr="00C83DF3" w:rsidR="00B71AF7" w:rsidP="00B71AF7" w:rsidRDefault="00B71AF7" w14:paraId="2AE8D159" w14:textId="77777777">
      <w:pPr>
        <w:pStyle w:val="zGTC02"/>
        <w:rPr>
          <w:rFonts w:ascii="Arial" w:hAnsi="Arial" w:cs="Arial"/>
          <w:vanish/>
          <w:specVanish/>
        </w:rPr>
      </w:pPr>
      <w:bookmarkStart w:name="_Toc138350352" w:id="78"/>
      <w:bookmarkStart w:name="_Toc143607195" w:id="79"/>
      <w:bookmarkStart w:name="_Toc169777888" w:id="80"/>
      <w:bookmarkStart w:name="_Toc181639404" w:id="81"/>
      <w:bookmarkStart w:name="_Toc214644724" w:id="82"/>
      <w:r>
        <w:rPr>
          <w:rFonts w:ascii="Arial" w:hAnsi="Arial" w:cs="Arial"/>
        </w:rPr>
        <w:t>Governmental Consents.</w:t>
      </w:r>
      <w:bookmarkEnd w:id="78"/>
      <w:bookmarkEnd w:id="79"/>
      <w:bookmarkEnd w:id="80"/>
      <w:bookmarkEnd w:id="81"/>
      <w:bookmarkEnd w:id="82"/>
    </w:p>
    <w:p w:rsidRPr="00C83DF3" w:rsidR="00B71AF7" w:rsidP="00B71AF7" w:rsidRDefault="00B71AF7" w14:paraId="40B40665" w14:textId="2AC163AA">
      <w:pPr>
        <w:pStyle w:val="zGNormal"/>
        <w:spacing w:after="120"/>
      </w:pPr>
      <w:r>
        <w:t xml:space="preserve"> Except as set forth in Section 3.4 of the Seller Disclosure Schedule, no Consent is required in connection with the execution, delivery, and performance by Seller of this APA </w:t>
      </w:r>
      <w:r w:rsidR="00EE520E">
        <w:t>or</w:t>
      </w:r>
      <w:r>
        <w:t xml:space="preserve"> the other Transaction Documents to which Seller is or will be a party, or the consummation of the transactions contemplated by this APA or the other Transaction Documents.</w:t>
      </w:r>
    </w:p>
    <w:p w:rsidRPr="00C83DF3" w:rsidR="00B71AF7" w:rsidP="00B71AF7" w:rsidRDefault="00B71AF7" w14:paraId="556619F8" w14:textId="77777777">
      <w:pPr>
        <w:pStyle w:val="zGTC02"/>
        <w:rPr>
          <w:rFonts w:ascii="Arial" w:hAnsi="Arial" w:cs="Arial"/>
          <w:vanish/>
          <w:specVanish/>
        </w:rPr>
      </w:pPr>
      <w:bookmarkStart w:name="_Toc138350353" w:id="83"/>
      <w:bookmarkStart w:name="_Toc143607196" w:id="84"/>
      <w:bookmarkStart w:name="_Toc169777889" w:id="85"/>
      <w:bookmarkStart w:name="_Toc181639405" w:id="86"/>
      <w:bookmarkStart w:name="_Toc214644725" w:id="87"/>
      <w:r>
        <w:rPr>
          <w:rFonts w:ascii="Arial" w:hAnsi="Arial" w:cs="Arial"/>
        </w:rPr>
        <w:t>Books and Records.</w:t>
      </w:r>
      <w:bookmarkEnd w:id="83"/>
      <w:bookmarkEnd w:id="84"/>
      <w:bookmarkEnd w:id="85"/>
      <w:bookmarkEnd w:id="86"/>
      <w:bookmarkEnd w:id="87"/>
    </w:p>
    <w:p w:rsidRPr="00C83DF3" w:rsidR="00B71AF7" w:rsidP="00B71AF7" w:rsidRDefault="00B71AF7" w14:paraId="48FF31A9" w14:textId="7D9786DA">
      <w:pPr>
        <w:pStyle w:val="zGNormal"/>
        <w:spacing w:after="120"/>
      </w:pPr>
      <w:r>
        <w:t xml:space="preserve"> The Books and Records are accurate and complete in all material respects and have been maintained in accordance with applicable laws and GAAP (to the extent applicable). True and complete copies of the Books and Records have been made available to GPC.</w:t>
      </w:r>
    </w:p>
    <w:p w:rsidRPr="00C83DF3" w:rsidR="00B71AF7" w:rsidP="00B71AF7" w:rsidRDefault="00B71AF7" w14:paraId="0120EFD3" w14:textId="77777777">
      <w:pPr>
        <w:pStyle w:val="zGTC02"/>
        <w:rPr>
          <w:rFonts w:ascii="Arial" w:hAnsi="Arial" w:cs="Arial"/>
          <w:vanish/>
          <w:specVanish/>
        </w:rPr>
      </w:pPr>
      <w:bookmarkStart w:name="_Toc138350354" w:id="88"/>
      <w:bookmarkStart w:name="_Toc143607197" w:id="89"/>
      <w:bookmarkStart w:name="_Toc169777890" w:id="90"/>
      <w:bookmarkStart w:name="_Toc181639406" w:id="91"/>
      <w:bookmarkStart w:name="_Toc214644726" w:id="92"/>
      <w:r>
        <w:rPr>
          <w:rFonts w:ascii="Arial" w:hAnsi="Arial" w:cs="Arial"/>
        </w:rPr>
        <w:t>Bank Accounts.</w:t>
      </w:r>
      <w:bookmarkEnd w:id="88"/>
      <w:bookmarkEnd w:id="89"/>
      <w:bookmarkEnd w:id="90"/>
      <w:bookmarkEnd w:id="91"/>
      <w:bookmarkEnd w:id="92"/>
    </w:p>
    <w:p w:rsidRPr="00C83DF3" w:rsidR="00B71AF7" w:rsidP="00B71AF7" w:rsidRDefault="00B71AF7" w14:paraId="679D1371" w14:textId="77777777">
      <w:pPr>
        <w:pStyle w:val="zGNormal"/>
        <w:spacing w:after="120"/>
      </w:pPr>
      <w:r>
        <w:t xml:space="preserve"> Section 3.6 of the Seller Disclosure Schedule includes a list of the names and locations of banks, trust companies, and other financial institutions at which Seller maintains accounts of any nature or safe deposit boxes, and the names of all Persons authorized to draw on, make withdrawals from, or have access to such accounts.</w:t>
      </w:r>
    </w:p>
    <w:p w:rsidRPr="00C83DF3" w:rsidR="00B71AF7" w:rsidP="00B71AF7" w:rsidRDefault="00B71AF7" w14:paraId="0FFFD32F" w14:textId="77777777">
      <w:pPr>
        <w:pStyle w:val="zGTC02"/>
        <w:rPr>
          <w:rFonts w:ascii="Arial" w:hAnsi="Arial" w:cs="Arial"/>
          <w:vanish/>
          <w:specVanish/>
        </w:rPr>
      </w:pPr>
      <w:bookmarkStart w:name="_Toc138350355" w:id="93"/>
      <w:bookmarkStart w:name="_Toc143607198" w:id="94"/>
      <w:bookmarkStart w:name="_Toc169777891" w:id="95"/>
      <w:bookmarkStart w:name="_Toc181639407" w:id="96"/>
      <w:bookmarkStart w:name="_Toc214644727" w:id="97"/>
      <w:r>
        <w:rPr>
          <w:rFonts w:ascii="Arial" w:hAnsi="Arial" w:cs="Arial"/>
        </w:rPr>
        <w:t>Legal Proceedings.</w:t>
      </w:r>
      <w:bookmarkEnd w:id="93"/>
      <w:bookmarkEnd w:id="94"/>
      <w:bookmarkEnd w:id="95"/>
      <w:bookmarkEnd w:id="96"/>
      <w:bookmarkEnd w:id="97"/>
    </w:p>
    <w:p w:rsidRPr="00C83DF3" w:rsidR="00B71AF7" w:rsidP="00B71AF7" w:rsidRDefault="00B71AF7" w14:paraId="64557E0D" w14:textId="49E54B71">
      <w:pPr>
        <w:pStyle w:val="zGNormal"/>
        <w:spacing w:after="120"/>
      </w:pPr>
      <w:r>
        <w:t xml:space="preserve"> Except as set forth in Section 3.7 of the Seller Disclosure Schedule: (a) there is, and over the past six years there has been, no material Action or Claim pending or, to Seller’s Knowledge, threatened against or affecting Seller, the Facility (including the ownership, construction, operation, maintenance, repair, and use of the Facility), the Facility Real Property, </w:t>
      </w:r>
      <w:r w:rsidR="00610526">
        <w:t>or</w:t>
      </w:r>
      <w:r>
        <w:t xml:space="preserve"> the other Facility Assets before any Governmental Authority; (b) to Seller’s Knowledge, there are no facts, conditions, or circumstances that, with or without notice or the lapse of time or both, would reasonably be expected to form the basis of or give rise to any such Action or Claim; and (c) Seller is not subject to, and none of its assets or properties is bound by, any Order.</w:t>
      </w:r>
    </w:p>
    <w:p w:rsidRPr="00C83DF3" w:rsidR="00B71AF7" w:rsidP="00B71AF7" w:rsidRDefault="00B71AF7" w14:paraId="3ED1999B" w14:textId="77777777">
      <w:pPr>
        <w:pStyle w:val="zGTC02"/>
        <w:rPr>
          <w:rFonts w:ascii="Arial" w:hAnsi="Arial" w:cs="Arial"/>
          <w:vanish/>
          <w:specVanish/>
        </w:rPr>
      </w:pPr>
      <w:bookmarkStart w:name="_Toc138350356" w:id="98"/>
      <w:bookmarkStart w:name="_Toc143607199" w:id="99"/>
      <w:bookmarkStart w:name="_Toc169777892" w:id="100"/>
      <w:bookmarkStart w:name="_Toc181639408" w:id="101"/>
      <w:bookmarkStart w:name="_Toc214644728" w:id="102"/>
      <w:r>
        <w:rPr>
          <w:rFonts w:ascii="Arial" w:hAnsi="Arial" w:cs="Arial"/>
        </w:rPr>
        <w:t>Compliance with Law.</w:t>
      </w:r>
      <w:bookmarkEnd w:id="98"/>
      <w:bookmarkEnd w:id="99"/>
      <w:bookmarkEnd w:id="100"/>
      <w:bookmarkEnd w:id="101"/>
      <w:bookmarkEnd w:id="102"/>
    </w:p>
    <w:p w:rsidRPr="00C83DF3" w:rsidR="00B71AF7" w:rsidP="00B71AF7" w:rsidRDefault="00B71AF7" w14:paraId="09FEA3D5" w14:textId="46806AE3">
      <w:pPr>
        <w:pStyle w:val="zGNormal"/>
        <w:spacing w:after="120"/>
      </w:pPr>
      <w:r>
        <w:t xml:space="preserve"> Except as set forth in Section 3.8 of the Seller Disclosure Schedule: (a) Seller, the Facility (including the ownership, construction, operation, maintenance, repair, and use of the Facility), the Facility Real Property, and the other Facility Assets are not in violation of, or default under, any applicable law in any material respect; (b) Seller has not received written notice of any actual, alleged, or potential violation of, or failure to comply with, any applicable law; and (c) to Seller’s Knowledge, there are no facts, conditions, or circumstances that, with or without notice or the lapse of time or both, would reasonably be expected to constitute or result in a material violation, or a material failure to comply with, any applicable law.</w:t>
      </w:r>
    </w:p>
    <w:p w:rsidRPr="00C83DF3" w:rsidR="00B71AF7" w:rsidP="00B71AF7" w:rsidRDefault="00B71AF7" w14:paraId="08DFD1AA" w14:textId="77777777">
      <w:pPr>
        <w:pStyle w:val="zGTC02"/>
        <w:keepNext/>
        <w:keepLines/>
        <w:rPr>
          <w:rFonts w:ascii="Arial" w:hAnsi="Arial" w:cs="Arial"/>
        </w:rPr>
      </w:pPr>
      <w:bookmarkStart w:name="_Toc138350357" w:id="103"/>
      <w:bookmarkStart w:name="_Toc143607200" w:id="104"/>
      <w:bookmarkStart w:name="_Toc169777893" w:id="105"/>
      <w:bookmarkStart w:name="_Toc181639409" w:id="106"/>
      <w:bookmarkStart w:name="_Toc214644729" w:id="107"/>
      <w:r>
        <w:rPr>
          <w:rFonts w:ascii="Arial" w:hAnsi="Arial" w:cs="Arial"/>
        </w:rPr>
        <w:t>Permits.</w:t>
      </w:r>
      <w:bookmarkEnd w:id="103"/>
      <w:bookmarkEnd w:id="104"/>
      <w:bookmarkEnd w:id="105"/>
      <w:bookmarkEnd w:id="106"/>
      <w:bookmarkEnd w:id="107"/>
      <w:r>
        <w:rPr>
          <w:rFonts w:ascii="Arial" w:hAnsi="Arial" w:cs="Arial"/>
        </w:rPr>
        <w:t xml:space="preserve"> </w:t>
      </w:r>
    </w:p>
    <w:p w:rsidRPr="00C83DF3" w:rsidR="00B71AF7" w:rsidP="00B71AF7" w:rsidRDefault="00B71AF7" w14:paraId="0D7B0B7A" w14:textId="391D65E9">
      <w:pPr>
        <w:pStyle w:val="zGTC03"/>
        <w:keepLines/>
        <w:rPr>
          <w:rFonts w:cs="Arial"/>
        </w:rPr>
      </w:pPr>
      <w:r>
        <w:rPr>
          <w:rFonts w:cs="Arial"/>
          <w:b/>
          <w:bCs/>
        </w:rPr>
        <w:t>List of Permits</w:t>
      </w:r>
      <w:r>
        <w:rPr>
          <w:rFonts w:cs="Arial"/>
        </w:rPr>
        <w:t xml:space="preserve">. Seller owns or holds </w:t>
      </w:r>
      <w:proofErr w:type="gramStart"/>
      <w:r>
        <w:rPr>
          <w:rFonts w:cs="Arial"/>
        </w:rPr>
        <w:t>all of</w:t>
      </w:r>
      <w:proofErr w:type="gramEnd"/>
      <w:r>
        <w:rPr>
          <w:rFonts w:cs="Arial"/>
        </w:rPr>
        <w:t xml:space="preserve"> the Facility Permits. Section 3.9.1 of the Seller Disclosure Schedule includes a true, correct, and complete list of all Facility Permits (including Permits required under Environmental Laws) and identifies all non-transferable Facility Permits or Facility Permits that are transferable only with the consent of the Person issuing the Permit. Seller has provided GPC with a true and complete copy of each Facility Permit.</w:t>
      </w:r>
    </w:p>
    <w:p w:rsidRPr="00C83DF3" w:rsidR="00B71AF7" w:rsidP="00B71AF7" w:rsidRDefault="00B71AF7" w14:paraId="4473FAF2" w14:textId="77777777">
      <w:pPr>
        <w:pStyle w:val="zGTC03"/>
        <w:keepNext/>
        <w:keepLines/>
        <w:rPr>
          <w:rFonts w:cs="Arial"/>
        </w:rPr>
      </w:pPr>
      <w:r>
        <w:rPr>
          <w:rFonts w:cs="Arial"/>
          <w:b/>
          <w:bCs/>
          <w:szCs w:val="20"/>
        </w:rPr>
        <w:t>Representations and Warranties Regarding Permits</w:t>
      </w:r>
      <w:r>
        <w:rPr>
          <w:rFonts w:cs="Arial"/>
          <w:szCs w:val="20"/>
        </w:rPr>
        <w:t>. With respect to each Facility Permit (including Permits required under Environmental Laws):</w:t>
      </w:r>
    </w:p>
    <w:p w:rsidRPr="00C83DF3" w:rsidR="00B71AF7" w:rsidP="00B71AF7" w:rsidRDefault="00B71AF7" w14:paraId="306EF586" w14:textId="359BA282">
      <w:pPr>
        <w:pStyle w:val="zGTC04"/>
        <w:keepLines/>
        <w:rPr>
          <w:rFonts w:cs="Arial"/>
        </w:rPr>
      </w:pPr>
      <w:r>
        <w:rPr>
          <w:rFonts w:cs="Arial"/>
        </w:rPr>
        <w:t xml:space="preserve">each Facility Permit is legal, valid, and binding, and in full force and effect (and all public comment and appeal periods under applicable </w:t>
      </w:r>
      <w:r>
        <w:t>law</w:t>
      </w:r>
      <w:r>
        <w:rPr>
          <w:rFonts w:cs="Arial"/>
        </w:rPr>
        <w:t xml:space="preserve"> have expired or terminated), and, unless identified in Section 3.9.1 of the Seller Disclosure Schedule</w:t>
      </w:r>
      <w:r w:rsidR="0004096E">
        <w:rPr>
          <w:rFonts w:cs="Arial"/>
        </w:rPr>
        <w:t xml:space="preserve"> as non-transferrable or transferable only with the consent of the Person issuing the Permit</w:t>
      </w:r>
      <w:r>
        <w:rPr>
          <w:rFonts w:cs="Arial"/>
        </w:rPr>
        <w:t xml:space="preserve">, is transferrable to GPC under the Transaction Documents; </w:t>
      </w:r>
    </w:p>
    <w:p w:rsidRPr="00C83DF3" w:rsidR="00B71AF7" w:rsidP="00B71AF7" w:rsidRDefault="00B71AF7" w14:paraId="2BCDE6D4" w14:textId="77777777">
      <w:pPr>
        <w:pStyle w:val="zGTC04"/>
        <w:keepLines/>
        <w:rPr>
          <w:rFonts w:cs="Arial"/>
        </w:rPr>
      </w:pPr>
      <w:r>
        <w:rPr>
          <w:rFonts w:cs="Arial"/>
          <w:szCs w:val="20"/>
        </w:rPr>
        <w:lastRenderedPageBreak/>
        <w:t xml:space="preserve">the completion of the transactions contemplated by this APA and the other Transaction Documents will not affect the legality, validity, binding nature, or force and effect of any Facility Permit being transferred to GPC pursuant to the Bill of Sale, except with respect to the identity of the parties to the Facility Permit as a result of the Bill of Sale; </w:t>
      </w:r>
    </w:p>
    <w:p w:rsidRPr="00C83DF3" w:rsidR="00B71AF7" w:rsidP="00B71AF7" w:rsidRDefault="00B71AF7" w14:paraId="151D21FE" w14:textId="77777777">
      <w:pPr>
        <w:pStyle w:val="zGTC04"/>
        <w:keepLines/>
        <w:rPr>
          <w:rFonts w:cs="Arial"/>
        </w:rPr>
      </w:pPr>
      <w:r>
        <w:rPr>
          <w:rFonts w:cs="Arial"/>
          <w:szCs w:val="20"/>
        </w:rPr>
        <w:t xml:space="preserve">Seller and the Facility </w:t>
      </w:r>
      <w:proofErr w:type="gramStart"/>
      <w:r>
        <w:rPr>
          <w:rFonts w:cs="Arial"/>
          <w:szCs w:val="20"/>
        </w:rPr>
        <w:t>are in compliance with</w:t>
      </w:r>
      <w:proofErr w:type="gramEnd"/>
      <w:r>
        <w:rPr>
          <w:rFonts w:cs="Arial"/>
          <w:szCs w:val="20"/>
        </w:rPr>
        <w:t xml:space="preserve"> the terms and conditions of each Facility Permit, and, to Seller’s Knowledge, no event has occurred that, with the giving of notice or lapse of time, or both, would constitute noncompliance with the terms and conditions of any Facility </w:t>
      </w:r>
      <w:proofErr w:type="gramStart"/>
      <w:r>
        <w:rPr>
          <w:rFonts w:cs="Arial"/>
          <w:szCs w:val="20"/>
        </w:rPr>
        <w:t>Permit;</w:t>
      </w:r>
      <w:proofErr w:type="gramEnd"/>
      <w:r>
        <w:rPr>
          <w:rFonts w:cs="Arial"/>
          <w:szCs w:val="20"/>
        </w:rPr>
        <w:t xml:space="preserve"> </w:t>
      </w:r>
    </w:p>
    <w:p w:rsidRPr="00C83DF3" w:rsidR="00B71AF7" w:rsidP="00B71AF7" w:rsidRDefault="00B71AF7" w14:paraId="19ADD1FC" w14:textId="77777777">
      <w:pPr>
        <w:pStyle w:val="zGTC04"/>
        <w:keepLines/>
        <w:rPr>
          <w:rFonts w:cs="Arial"/>
        </w:rPr>
      </w:pPr>
      <w:r>
        <w:rPr>
          <w:rFonts w:cs="Arial"/>
          <w:szCs w:val="20"/>
        </w:rPr>
        <w:t xml:space="preserve">no Action or Claim is pending or, to Seller’s Knowledge, threatened, in each case, which challenges the legality, validity, or enforceability of, or threatens to revoke, terminate, suspend, or materially modify, any Facility </w:t>
      </w:r>
      <w:proofErr w:type="gramStart"/>
      <w:r>
        <w:rPr>
          <w:rFonts w:cs="Arial"/>
          <w:szCs w:val="20"/>
        </w:rPr>
        <w:t>Permit;</w:t>
      </w:r>
      <w:proofErr w:type="gramEnd"/>
      <w:r>
        <w:rPr>
          <w:rFonts w:cs="Arial"/>
          <w:szCs w:val="20"/>
        </w:rPr>
        <w:t xml:space="preserve"> </w:t>
      </w:r>
    </w:p>
    <w:p w:rsidRPr="00C83DF3" w:rsidR="00B71AF7" w:rsidP="00B71AF7" w:rsidRDefault="00B71AF7" w14:paraId="3C5D79AD" w14:textId="77777777">
      <w:pPr>
        <w:pStyle w:val="zGTC04"/>
        <w:keepLines/>
        <w:rPr>
          <w:rFonts w:cs="Arial"/>
        </w:rPr>
      </w:pPr>
      <w:proofErr w:type="gramStart"/>
      <w:r>
        <w:rPr>
          <w:rFonts w:cs="Arial"/>
          <w:szCs w:val="20"/>
        </w:rPr>
        <w:t>no</w:t>
      </w:r>
      <w:proofErr w:type="gramEnd"/>
      <w:r>
        <w:rPr>
          <w:rFonts w:cs="Arial"/>
          <w:szCs w:val="20"/>
        </w:rPr>
        <w:t xml:space="preserve"> notice of noncompliance or default has been received by Seller, or any of its Affiliates, regarding any Facility </w:t>
      </w:r>
      <w:proofErr w:type="gramStart"/>
      <w:r>
        <w:rPr>
          <w:rFonts w:cs="Arial"/>
          <w:szCs w:val="20"/>
        </w:rPr>
        <w:t>Permit;</w:t>
      </w:r>
      <w:proofErr w:type="gramEnd"/>
    </w:p>
    <w:p w:rsidRPr="00C83DF3" w:rsidR="00B71AF7" w:rsidP="00B71AF7" w:rsidRDefault="00B71AF7" w14:paraId="6911C679" w14:textId="79EEDF70">
      <w:pPr>
        <w:pStyle w:val="zGTC04"/>
        <w:keepLines/>
        <w:rPr>
          <w:rFonts w:cs="Arial"/>
        </w:rPr>
      </w:pPr>
      <w:r>
        <w:rPr>
          <w:rFonts w:cs="Arial"/>
          <w:szCs w:val="20"/>
        </w:rPr>
        <w:t xml:space="preserve">no notice has been received by Seller or any Affiliate of Seller, and to Seller’s Knowledge, no condition, fact, or circumstance exists that would reasonably be expected to prevent, hinder, delay, or restrict the ability of Seller to transfer, or GPC to acquire at the Closing (in accordance with Prudent Utility Practices), any Facility Permit; </w:t>
      </w:r>
    </w:p>
    <w:p w:rsidRPr="00C83DF3" w:rsidR="00B71AF7" w:rsidP="00B71AF7" w:rsidRDefault="00B71AF7" w14:paraId="69F80DFC" w14:textId="5BFED03C">
      <w:pPr>
        <w:pStyle w:val="zGTC04"/>
        <w:keepLines/>
        <w:rPr>
          <w:rFonts w:cs="Arial"/>
        </w:rPr>
      </w:pPr>
      <w:r>
        <w:rPr>
          <w:rFonts w:cs="Arial"/>
          <w:szCs w:val="20"/>
        </w:rPr>
        <w:t>no condition or requirement exists in any Facility Permit that does, or would reasonably be expected to, adversely affect the ownership, use, operation, maintenance (in accordance with Prudent Utility Practices), or repair of the Facility or the Facility Assets by or on behalf of GPC after the Closing, assuming the use, operation, maintenance, or repair of the Facility or the Facility Assets after the Closing is consistent in all material respects with the use, operation, maintenance, or repair of the Facility or the Facility Assets immediately before the Closing; and</w:t>
      </w:r>
    </w:p>
    <w:p w:rsidRPr="00C83DF3" w:rsidR="00B71AF7" w:rsidP="00B71AF7" w:rsidRDefault="00B71AF7" w14:paraId="6C3D6A50" w14:textId="77777777">
      <w:pPr>
        <w:pStyle w:val="zGTC04"/>
        <w:keepLines/>
        <w:rPr>
          <w:rFonts w:cs="Arial"/>
        </w:rPr>
      </w:pPr>
      <w:r>
        <w:rPr>
          <w:rFonts w:cs="Arial"/>
          <w:szCs w:val="20"/>
        </w:rPr>
        <w:t xml:space="preserve">Seller has made available to GPC a true, correct, and complete copy of each Facility Permit (or application for any Facility Permit), all material documents, reports, and correspondence provided by Seller or any of its Affiliates to any Governmental </w:t>
      </w:r>
      <w:r>
        <w:rPr>
          <w:rFonts w:cs="Arial"/>
        </w:rPr>
        <w:t>Authority</w:t>
      </w:r>
      <w:r>
        <w:rPr>
          <w:rFonts w:cs="Arial"/>
          <w:szCs w:val="20"/>
        </w:rPr>
        <w:t xml:space="preserve"> with respect to each Facility Permit (or application for any Facility Permit), and all material documents, reports, and correspondence received by Seller or any of its Affiliates from any Governmental </w:t>
      </w:r>
      <w:r>
        <w:rPr>
          <w:rFonts w:cs="Arial"/>
        </w:rPr>
        <w:t>Authority</w:t>
      </w:r>
      <w:r>
        <w:rPr>
          <w:rFonts w:cs="Arial"/>
          <w:szCs w:val="20"/>
        </w:rPr>
        <w:t xml:space="preserve"> with respect to each Facility Permit (or application for any Facility Permit).</w:t>
      </w:r>
    </w:p>
    <w:p w:rsidRPr="00C83DF3" w:rsidR="00B71AF7" w:rsidP="00B71AF7" w:rsidRDefault="00B71AF7" w14:paraId="0B24833D" w14:textId="77777777">
      <w:pPr>
        <w:pStyle w:val="zGTC03"/>
        <w:keepLines/>
        <w:rPr>
          <w:rFonts w:cs="Arial"/>
        </w:rPr>
      </w:pPr>
      <w:r>
        <w:rPr>
          <w:rFonts w:cs="Arial"/>
          <w:b/>
          <w:bCs/>
        </w:rPr>
        <w:t>Compliance.</w:t>
      </w:r>
      <w:r>
        <w:rPr>
          <w:rFonts w:cs="Arial"/>
        </w:rPr>
        <w:t xml:space="preserve"> Seller has complied in all material respects with all avoidance, minimization, and mitigation measures and plans for the Facility, and all formal recommendations and written agreements made with or by any Governmental Authority relating to the Facility.</w:t>
      </w:r>
    </w:p>
    <w:p w:rsidRPr="00C83DF3" w:rsidR="00B71AF7" w:rsidP="00B71AF7" w:rsidRDefault="00B71AF7" w14:paraId="12CB7E86" w14:textId="77777777">
      <w:pPr>
        <w:pStyle w:val="zGTC02"/>
        <w:keepNext/>
        <w:keepLines/>
        <w:rPr>
          <w:rFonts w:ascii="Arial" w:hAnsi="Arial" w:cs="Arial"/>
        </w:rPr>
      </w:pPr>
      <w:bookmarkStart w:name="_Toc138350358" w:id="108"/>
      <w:bookmarkStart w:name="_Toc143607201" w:id="109"/>
      <w:bookmarkStart w:name="_Toc169777894" w:id="110"/>
      <w:bookmarkStart w:name="_Toc181639410" w:id="111"/>
      <w:bookmarkStart w:name="_Toc214644730" w:id="112"/>
      <w:r>
        <w:rPr>
          <w:rFonts w:ascii="Arial" w:hAnsi="Arial" w:cs="Arial"/>
        </w:rPr>
        <w:t>Environmental Matters.</w:t>
      </w:r>
      <w:bookmarkEnd w:id="108"/>
      <w:bookmarkEnd w:id="109"/>
      <w:bookmarkEnd w:id="110"/>
      <w:bookmarkEnd w:id="111"/>
      <w:bookmarkEnd w:id="112"/>
      <w:r>
        <w:rPr>
          <w:rFonts w:ascii="Arial" w:hAnsi="Arial" w:cs="Arial"/>
        </w:rPr>
        <w:t xml:space="preserve"> </w:t>
      </w:r>
    </w:p>
    <w:p w:rsidRPr="00C83DF3" w:rsidR="00B71AF7" w:rsidP="00B71AF7" w:rsidRDefault="00B71AF7" w14:paraId="23C19979" w14:textId="77777777">
      <w:pPr>
        <w:pStyle w:val="zGTC03"/>
        <w:widowControl w:val="0"/>
        <w:tabs>
          <w:tab w:val="left" w:pos="720"/>
        </w:tabs>
        <w:rPr>
          <w:rFonts w:cs="Arial"/>
        </w:rPr>
      </w:pPr>
      <w:r>
        <w:rPr>
          <w:rFonts w:cs="Arial"/>
          <w:b/>
          <w:bCs/>
        </w:rPr>
        <w:t>Environmental Reports.</w:t>
      </w:r>
      <w:r>
        <w:rPr>
          <w:rFonts w:cs="Arial"/>
        </w:rPr>
        <w:t xml:space="preserve"> Section 3.10.1 of the Seller Disclosure Schedule includes all environmental reports, assessments, and audits, including reports, assessments, and audits relating to wetlands, air quality, and air pollutant emissions or discharges, and studies relating to threatened or endangered species and avian species, including those species protected by Environmental Laws, and studies relating to archaeological, cultural, and historical resources prepared by or on behalf of Seller in connection with the Facility, or otherwise in Seller’s possession or control with respect to the Facility. Seller has provided GPC with copies of the materials set forth in Section 3.10.1 of the Seller Disclosure Schedule.</w:t>
      </w:r>
    </w:p>
    <w:p w:rsidRPr="00C83DF3" w:rsidR="00B71AF7" w:rsidP="00B71AF7" w:rsidRDefault="00B71AF7" w14:paraId="552972AD" w14:textId="6344505E">
      <w:pPr>
        <w:pStyle w:val="zGTC03"/>
        <w:widowControl w:val="0"/>
        <w:tabs>
          <w:tab w:val="left" w:pos="784"/>
        </w:tabs>
        <w:rPr>
          <w:rFonts w:cs="Arial"/>
        </w:rPr>
      </w:pPr>
      <w:r>
        <w:rPr>
          <w:rFonts w:cs="Arial"/>
          <w:b/>
          <w:bCs/>
        </w:rPr>
        <w:t>Compliance with Facility Permits and Environmental Laws.</w:t>
      </w:r>
      <w:r>
        <w:rPr>
          <w:rFonts w:cs="Arial"/>
        </w:rPr>
        <w:t xml:space="preserve"> (i) As of the Closing Date, Seller holds, and is in compliance with, all Facility Permits, including all applicable environmental Permits; (ii) the Facility has been constructed in compliance with all Environmental Laws; (iii) Seller has not received any written notice of a pending or threatened Claim, or inquiry by any Governmental Authority or other Person relating to any actual or alleged violations of any Environmental Law, or any actual or potential obligation on the part of Seller to investigate or take any corrective action relative to any Hazardous Substance or threatened Release of any Hazardous Substance, in each case, related to the Facility; (iv) Seller has not entered into or agreed in writing to any final decree or Order with any Governmental Authority, and Seller is not subject to any Order relating to compliance of the Facility with any Environmental Law or to the investigation or cleanup of Hazardous Substances at the Facility; (v) to Seller’s Knowledge, except as set forth in an environmental report set forth on Section 3.10.2 of the Seller Disclosure Schedule, no Person has generated, transported, treated, stored, disposed of, arranged to be disposed of, Released, or threatened to Release, any Hazardous Substances at, on, from, or under the </w:t>
      </w:r>
      <w:r>
        <w:rPr>
          <w:rFonts w:cs="Arial"/>
        </w:rPr>
        <w:lastRenderedPageBreak/>
        <w:t xml:space="preserve">Facility Real Property in violation of, or as would reasonably be expected to result in Liability under, any Environmental Law; (vi) except as set forth in the Facility Permits and Facility Contracts, Seller has not assumed any contractual Liabilities or obligations arising under any Environmental Law in connection with the Facility; and (vii) Seller has not utilized any underground storage tanks or equipment using polychlorinated biphenyls, Emerging Contaminants, or asbestos in violation of Environmental Law at the Facility Real Property. </w:t>
      </w:r>
      <w:bookmarkStart w:name="_Toc143092371" w:id="113"/>
      <w:bookmarkStart w:name="_Toc143543226" w:id="114"/>
      <w:r>
        <w:rPr>
          <w:rFonts w:cs="Arial"/>
        </w:rPr>
        <w:t>For the avoidance of doubt, compliance with Environmental Laws includes performance of all studies required by Environmental Law or recommended by a Governmental Authority under Environmental Law to assess the impacts of the Facility on the environment, wildlife, or cultural resources, and mitigation measures to reduce or avoid impacts to environmental, wildlife, or cultural resources, including, as applicable, any species conservation strategy, or conservation agreement and any cultural resources treatment plan.</w:t>
      </w:r>
    </w:p>
    <w:bookmarkEnd w:id="113"/>
    <w:bookmarkEnd w:id="114"/>
    <w:p w:rsidRPr="00C83DF3" w:rsidR="00B71AF7" w:rsidP="00B71AF7" w:rsidRDefault="00B71AF7" w14:paraId="322127C5" w14:textId="77777777">
      <w:pPr>
        <w:pStyle w:val="zGTC03"/>
        <w:widowControl w:val="0"/>
        <w:tabs>
          <w:tab w:val="left" w:pos="720"/>
        </w:tabs>
        <w:rPr>
          <w:rFonts w:cs="Arial"/>
        </w:rPr>
      </w:pPr>
      <w:r>
        <w:rPr>
          <w:rFonts w:cs="Arial"/>
          <w:b/>
          <w:bCs/>
        </w:rPr>
        <w:t>Additional Environmental Matters.</w:t>
      </w:r>
      <w:r>
        <w:rPr>
          <w:rFonts w:cs="Arial"/>
        </w:rPr>
        <w:t xml:space="preserve"> To Seller’s Knowledge: (i) there have been no unpermitted impacts to wetlands or water bodies, regulated under any Environmental Law, located on the Facility Real Property; (ii) no condition, fact, or circumstance exists that, with or without notice or the lapse of time or both, would reasonably be expected to form the basis of or give rise to any environmental Liability, or material noncompliance by Seller or its Affiliates or the Facility with, any Environmental Law with respect to the Facility or the Facility Real Property; (iii) neither Seller nor any Affiliate of Seller has agreed to or is subject to any Order or Claim relating to non-compliance with any Environmental Law, or to any investigation or cleanup of Hazardous Substances, or any Environmental Condition with respect to the Facility or the Facility Real Property; and (iv) there are no Claims or Actions pending or, to Seller’s Knowledge, threatened under any Environmental Law relating to the Facility or the Facility Real Property.</w:t>
      </w:r>
    </w:p>
    <w:p w:rsidRPr="00C83DF3" w:rsidR="00B71AF7" w:rsidP="00B71AF7" w:rsidRDefault="00B71AF7" w14:paraId="3CFF9100" w14:textId="77777777">
      <w:pPr>
        <w:pStyle w:val="zGTC03"/>
        <w:widowControl w:val="0"/>
        <w:tabs>
          <w:tab w:val="left" w:pos="720"/>
        </w:tabs>
        <w:rPr>
          <w:rFonts w:cs="Arial"/>
        </w:rPr>
      </w:pPr>
      <w:r>
        <w:rPr>
          <w:rFonts w:cs="Arial"/>
          <w:b/>
          <w:bCs/>
        </w:rPr>
        <w:t>Wildlife and Cultural Concerns.</w:t>
      </w:r>
      <w:r>
        <w:rPr>
          <w:rFonts w:cs="Arial"/>
        </w:rPr>
        <w:t xml:space="preserve"> To Seller’s Knowledge: (i) no species protected under any Environmental Law has been observed at the Facility Real Property; and (ii) no human remains or historical, archaeological, or paleontological resources regulated under any Environmental Law have been identified on the Facility Real Property.</w:t>
      </w:r>
    </w:p>
    <w:p w:rsidRPr="00C83DF3" w:rsidR="00B71AF7" w:rsidP="00B71AF7" w:rsidRDefault="00B71AF7" w14:paraId="336A7E13" w14:textId="4772C15B">
      <w:pPr>
        <w:pStyle w:val="zGTC03"/>
        <w:rPr>
          <w:rFonts w:cs="Arial"/>
        </w:rPr>
      </w:pPr>
      <w:r>
        <w:rPr>
          <w:rFonts w:cs="Arial"/>
          <w:b/>
          <w:bCs/>
        </w:rPr>
        <w:t>Environmental Attributes or Renewable Energy Incentives.</w:t>
      </w:r>
      <w:r>
        <w:rPr>
          <w:rFonts w:cs="Arial"/>
        </w:rPr>
        <w:t xml:space="preserve"> Neither Seller nor any of its Affiliates have sold or transferred, or agreed to sell or transfer, or taken any actions or granted any options or rights to purchase Environmental Attributes or Renewable Energy Incentives related to the electric power to be generated by the Facility. </w:t>
      </w:r>
      <w:r w:rsidR="00B704CD">
        <w:rPr>
          <w:rFonts w:cs="Arial"/>
        </w:rPr>
        <w:t>Section</w:t>
      </w:r>
      <w:r>
        <w:rPr>
          <w:rFonts w:cs="Arial"/>
        </w:rPr>
        <w:t xml:space="preserve"> 3.10.5 of the Seller Disclosure Schedule identifies all non-transferable Renewable Energy Incentives. </w:t>
      </w:r>
    </w:p>
    <w:p w:rsidRPr="00C83DF3" w:rsidR="00B71AF7" w:rsidP="00B71AF7" w:rsidRDefault="00B71AF7" w14:paraId="177366E9" w14:textId="77777777">
      <w:pPr>
        <w:pStyle w:val="zGTC02"/>
        <w:keepNext/>
        <w:keepLines/>
        <w:rPr>
          <w:rFonts w:ascii="Arial" w:hAnsi="Arial" w:cs="Arial"/>
        </w:rPr>
      </w:pPr>
      <w:bookmarkStart w:name="_Toc138350359" w:id="115"/>
      <w:bookmarkStart w:name="_Toc143607202" w:id="116"/>
      <w:bookmarkStart w:name="_Toc169777895" w:id="117"/>
      <w:bookmarkStart w:name="_Toc181639411" w:id="118"/>
      <w:bookmarkStart w:name="_Toc214644731" w:id="119"/>
      <w:r>
        <w:rPr>
          <w:rFonts w:ascii="Arial" w:hAnsi="Arial" w:cs="Arial"/>
        </w:rPr>
        <w:t>Facility Contracts.</w:t>
      </w:r>
      <w:bookmarkEnd w:id="115"/>
      <w:bookmarkEnd w:id="116"/>
      <w:bookmarkEnd w:id="117"/>
      <w:bookmarkEnd w:id="118"/>
      <w:bookmarkEnd w:id="119"/>
    </w:p>
    <w:p w:rsidRPr="00C83DF3" w:rsidR="00B71AF7" w:rsidP="00B71AF7" w:rsidRDefault="00B71AF7" w14:paraId="413FC17A" w14:textId="3C7CD46B">
      <w:pPr>
        <w:pStyle w:val="zGTC03"/>
        <w:keepNext/>
        <w:keepLines/>
        <w:rPr>
          <w:rFonts w:cs="Arial"/>
        </w:rPr>
      </w:pPr>
      <w:r>
        <w:rPr>
          <w:rFonts w:cs="Arial"/>
          <w:b/>
          <w:bCs/>
        </w:rPr>
        <w:t>List of Facility Contracts.</w:t>
      </w:r>
      <w:r>
        <w:rPr>
          <w:rFonts w:cs="Arial"/>
        </w:rPr>
        <w:t xml:space="preserve"> Section 3.11.1 of the Seller Disclosure Schedule includes a true, correct, and complete list and description of all Facility Contracts, and neither the Facility nor the Facility Assets are bound by any Contract other than the Facility Contracts, including any Contracts of the following types:</w:t>
      </w:r>
    </w:p>
    <w:p w:rsidRPr="00C83DF3" w:rsidR="00B71AF7" w:rsidP="00B71AF7" w:rsidRDefault="00B71AF7" w14:paraId="45EE2E13" w14:textId="77777777">
      <w:pPr>
        <w:pStyle w:val="zGTC04"/>
        <w:rPr>
          <w:rFonts w:cs="Arial"/>
        </w:rPr>
      </w:pPr>
      <w:r>
        <w:rPr>
          <w:rFonts w:cs="Arial"/>
        </w:rPr>
        <w:t xml:space="preserve">Contracts for the purchase, exchange, or sale of electric energy, capacity, or ancillary services, or related attributes, including Environmental </w:t>
      </w:r>
      <w:proofErr w:type="gramStart"/>
      <w:r>
        <w:rPr>
          <w:rFonts w:cs="Arial"/>
        </w:rPr>
        <w:t>Attributes;</w:t>
      </w:r>
      <w:proofErr w:type="gramEnd"/>
    </w:p>
    <w:p w:rsidRPr="00C83DF3" w:rsidR="00B71AF7" w:rsidP="00B71AF7" w:rsidRDefault="00B71AF7" w14:paraId="5D6A770D" w14:textId="77777777">
      <w:pPr>
        <w:pStyle w:val="zGTC04"/>
        <w:rPr>
          <w:rFonts w:cs="Arial"/>
        </w:rPr>
      </w:pPr>
      <w:r>
        <w:rPr>
          <w:rFonts w:cs="Arial"/>
          <w:szCs w:val="20"/>
        </w:rPr>
        <w:t xml:space="preserve">Contracts for the transmission or distribution of electric </w:t>
      </w:r>
      <w:proofErr w:type="gramStart"/>
      <w:r>
        <w:rPr>
          <w:rFonts w:cs="Arial"/>
          <w:szCs w:val="20"/>
        </w:rPr>
        <w:t>power;</w:t>
      </w:r>
      <w:proofErr w:type="gramEnd"/>
    </w:p>
    <w:p w:rsidRPr="00C83DF3" w:rsidR="00B71AF7" w:rsidP="00B71AF7" w:rsidRDefault="00B71AF7" w14:paraId="586619FE" w14:textId="77777777">
      <w:pPr>
        <w:pStyle w:val="zGTC04"/>
        <w:rPr>
          <w:rFonts w:cs="Arial"/>
        </w:rPr>
      </w:pPr>
      <w:proofErr w:type="gramStart"/>
      <w:r>
        <w:rPr>
          <w:rFonts w:cs="Arial"/>
          <w:szCs w:val="20"/>
        </w:rPr>
        <w:t>Contracts</w:t>
      </w:r>
      <w:proofErr w:type="gramEnd"/>
      <w:r>
        <w:rPr>
          <w:rFonts w:cs="Arial"/>
          <w:szCs w:val="20"/>
        </w:rPr>
        <w:t xml:space="preserve"> for the interconnection of electricity and utility </w:t>
      </w:r>
      <w:proofErr w:type="gramStart"/>
      <w:r>
        <w:rPr>
          <w:rFonts w:cs="Arial"/>
          <w:szCs w:val="20"/>
        </w:rPr>
        <w:t>services;</w:t>
      </w:r>
      <w:proofErr w:type="gramEnd"/>
      <w:r>
        <w:rPr>
          <w:rFonts w:cs="Arial"/>
          <w:szCs w:val="20"/>
        </w:rPr>
        <w:t xml:space="preserve"> </w:t>
      </w:r>
    </w:p>
    <w:p w:rsidRPr="00C83DF3" w:rsidR="00B71AF7" w:rsidP="00B71AF7" w:rsidRDefault="00B71AF7" w14:paraId="6000112B" w14:textId="77777777">
      <w:pPr>
        <w:pStyle w:val="zGTC04"/>
        <w:rPr>
          <w:rFonts w:cs="Arial"/>
        </w:rPr>
      </w:pPr>
      <w:r>
        <w:rPr>
          <w:rFonts w:cs="Arial"/>
        </w:rPr>
        <w:t xml:space="preserve">Contracts involving resolution or settlement of any actual or threatened Action against Seller, the Facility, the Facility Real Property, or the other Facility Assets that have not been fully performed or otherwise impose continuing </w:t>
      </w:r>
      <w:proofErr w:type="gramStart"/>
      <w:r>
        <w:rPr>
          <w:rFonts w:cs="Arial"/>
        </w:rPr>
        <w:t>Liabilities;</w:t>
      </w:r>
      <w:proofErr w:type="gramEnd"/>
    </w:p>
    <w:p w:rsidRPr="00C83DF3" w:rsidR="00B71AF7" w:rsidP="00B71AF7" w:rsidRDefault="00B71AF7" w14:paraId="7D9F8E09" w14:textId="77777777">
      <w:pPr>
        <w:pStyle w:val="zGTC04"/>
        <w:rPr>
          <w:rFonts w:cs="Arial"/>
        </w:rPr>
      </w:pPr>
      <w:r>
        <w:rPr>
          <w:rFonts w:cs="Arial"/>
          <w:szCs w:val="20"/>
        </w:rPr>
        <w:t xml:space="preserve">Contracts with respect to the sharing, indemnification, or allocation of Taxes or Tax costs, which Contracts are primarily related to </w:t>
      </w:r>
      <w:proofErr w:type="gramStart"/>
      <w:r>
        <w:rPr>
          <w:rFonts w:cs="Arial"/>
          <w:szCs w:val="20"/>
        </w:rPr>
        <w:t>Taxes;</w:t>
      </w:r>
      <w:proofErr w:type="gramEnd"/>
    </w:p>
    <w:p w:rsidRPr="00C83DF3" w:rsidR="00B71AF7" w:rsidP="00B71AF7" w:rsidRDefault="00B71AF7" w14:paraId="6D18F34A" w14:textId="77777777">
      <w:pPr>
        <w:pStyle w:val="zGTC04"/>
        <w:rPr>
          <w:rFonts w:cs="Arial"/>
        </w:rPr>
      </w:pPr>
      <w:r>
        <w:rPr>
          <w:rFonts w:cs="Arial"/>
          <w:szCs w:val="20"/>
        </w:rPr>
        <w:t>Contracts under which Seller has: (a) created, incurred, assumed, or guaranteed (or may create, incur, assume or guarantee) Indebtedness; (b) granted a Lien on its assets or properties, whether tangible or intangible, to secure any Indebtedness; or (c) extended credit to any Person in an amount in excess of</w:t>
      </w:r>
      <w:r>
        <w:rPr>
          <w:rFonts w:cs="Arial"/>
        </w:rPr>
        <w:t xml:space="preserve"> the extended credit threshold amount specified in Exhibit A-1 (</w:t>
      </w:r>
      <w:r>
        <w:rPr>
          <w:rFonts w:cs="Arial"/>
          <w:i/>
          <w:iCs/>
        </w:rPr>
        <w:t>Facility Information and Additional Details</w:t>
      </w:r>
      <w:r>
        <w:rPr>
          <w:rFonts w:cs="Arial"/>
        </w:rPr>
        <w:t>)</w:t>
      </w:r>
      <w:r>
        <w:rPr>
          <w:rFonts w:cs="Arial"/>
          <w:szCs w:val="20"/>
        </w:rPr>
        <w:t>;</w:t>
      </w:r>
    </w:p>
    <w:p w:rsidRPr="00C83DF3" w:rsidR="00B71AF7" w:rsidP="00B71AF7" w:rsidRDefault="00B71AF7" w14:paraId="713A602E" w14:textId="77777777">
      <w:pPr>
        <w:pStyle w:val="zGTC04"/>
        <w:rPr>
          <w:rFonts w:cs="Arial"/>
        </w:rPr>
      </w:pPr>
      <w:r>
        <w:rPr>
          <w:rFonts w:cs="Arial"/>
          <w:szCs w:val="20"/>
        </w:rPr>
        <w:t xml:space="preserve">Contracts </w:t>
      </w:r>
      <w:proofErr w:type="gramStart"/>
      <w:r>
        <w:rPr>
          <w:rFonts w:cs="Arial"/>
          <w:szCs w:val="20"/>
        </w:rPr>
        <w:t>providing for</w:t>
      </w:r>
      <w:proofErr w:type="gramEnd"/>
      <w:r>
        <w:rPr>
          <w:rFonts w:cs="Arial"/>
          <w:szCs w:val="20"/>
        </w:rPr>
        <w:t xml:space="preserve"> payments by or to Seller </w:t>
      </w:r>
      <w:proofErr w:type="gramStart"/>
      <w:r>
        <w:rPr>
          <w:rFonts w:cs="Arial"/>
          <w:szCs w:val="20"/>
        </w:rPr>
        <w:t>in excess of</w:t>
      </w:r>
      <w:proofErr w:type="gramEnd"/>
      <w:r>
        <w:rPr>
          <w:rFonts w:cs="Arial"/>
          <w:szCs w:val="20"/>
        </w:rPr>
        <w:t xml:space="preserve"> </w:t>
      </w:r>
      <w:r>
        <w:rPr>
          <w:rFonts w:cs="Arial"/>
        </w:rPr>
        <w:t xml:space="preserve">the </w:t>
      </w:r>
      <w:proofErr w:type="gramStart"/>
      <w:r>
        <w:rPr>
          <w:rFonts w:cs="Arial"/>
        </w:rPr>
        <w:t>payments</w:t>
      </w:r>
      <w:proofErr w:type="gramEnd"/>
      <w:r>
        <w:rPr>
          <w:rFonts w:cs="Arial"/>
        </w:rPr>
        <w:t xml:space="preserve"> threshold amount specified in Exhibit A-1 (</w:t>
      </w:r>
      <w:r>
        <w:rPr>
          <w:rFonts w:cs="Arial"/>
          <w:i/>
          <w:iCs/>
        </w:rPr>
        <w:t>Facility Information and Additional Details</w:t>
      </w:r>
      <w:r>
        <w:rPr>
          <w:rFonts w:cs="Arial"/>
        </w:rPr>
        <w:t>)</w:t>
      </w:r>
      <w:r>
        <w:rPr>
          <w:rFonts w:cs="Arial"/>
          <w:szCs w:val="20"/>
        </w:rPr>
        <w:t xml:space="preserve"> in any consecutive 12-month </w:t>
      </w:r>
      <w:proofErr w:type="gramStart"/>
      <w:r>
        <w:rPr>
          <w:rFonts w:cs="Arial"/>
          <w:szCs w:val="20"/>
        </w:rPr>
        <w:t>period;</w:t>
      </w:r>
      <w:proofErr w:type="gramEnd"/>
    </w:p>
    <w:p w:rsidRPr="00C83DF3" w:rsidR="00B71AF7" w:rsidP="00B71AF7" w:rsidRDefault="00B71AF7" w14:paraId="6788C01E" w14:textId="77777777">
      <w:pPr>
        <w:pStyle w:val="zGTC04"/>
        <w:rPr>
          <w:rFonts w:cs="Arial"/>
        </w:rPr>
      </w:pPr>
      <w:r>
        <w:rPr>
          <w:rFonts w:cs="Arial"/>
          <w:szCs w:val="20"/>
        </w:rPr>
        <w:lastRenderedPageBreak/>
        <w:t xml:space="preserve">Contracts: (a) for the construction or purchase of real estate, Improvements, equipment, machinery, and other items which constitute capital expenditures in excess of </w:t>
      </w:r>
      <w:r>
        <w:rPr>
          <w:rFonts w:cs="Arial"/>
        </w:rPr>
        <w:t xml:space="preserve"> the threshold amount specified in Exhibit A-1 (</w:t>
      </w:r>
      <w:r>
        <w:rPr>
          <w:rFonts w:cs="Arial"/>
          <w:i/>
          <w:iCs/>
        </w:rPr>
        <w:t>Facility Information and Additional Details</w:t>
      </w:r>
      <w:r>
        <w:rPr>
          <w:rFonts w:cs="Arial"/>
        </w:rPr>
        <w:t>) for items that constitute capital expenditures;</w:t>
      </w:r>
      <w:r>
        <w:rPr>
          <w:rFonts w:cs="Arial"/>
          <w:szCs w:val="20"/>
        </w:rPr>
        <w:t xml:space="preserve"> or (b) which involve or are reasonably expected to involve capital expenditures in excess of</w:t>
      </w:r>
      <w:r>
        <w:rPr>
          <w:rFonts w:cs="Arial"/>
        </w:rPr>
        <w:t xml:space="preserve"> the threshold amount specified in Exhibit A-1 for items that involve or are reasonably expected to involve capital expenditures</w:t>
      </w:r>
      <w:r>
        <w:rPr>
          <w:rFonts w:cs="Arial"/>
          <w:szCs w:val="20"/>
        </w:rPr>
        <w:t>, in each case, which have not been fully performed by Seller or otherwise impose continuing Liabilities on Seller;</w:t>
      </w:r>
    </w:p>
    <w:p w:rsidRPr="00C83DF3" w:rsidR="00B71AF7" w:rsidP="00B71AF7" w:rsidRDefault="00B71AF7" w14:paraId="043F1F09" w14:textId="77777777">
      <w:pPr>
        <w:pStyle w:val="zGTC04"/>
        <w:rPr>
          <w:rFonts w:cs="Arial"/>
        </w:rPr>
      </w:pPr>
      <w:r>
        <w:rPr>
          <w:rFonts w:cs="Arial"/>
          <w:szCs w:val="20"/>
        </w:rPr>
        <w:t xml:space="preserve">Contracts, letters of intent, or other understandings for acquisitions or dispositions (by merger, purchase or sale of assets or stock or otherwise, and including rights and options to acquire or dispose) of any Facility Assets, in each case, which have not been fully performed by Seller, or that otherwise impose continuing Liabilities on </w:t>
      </w:r>
      <w:proofErr w:type="gramStart"/>
      <w:r>
        <w:rPr>
          <w:rFonts w:cs="Arial"/>
          <w:szCs w:val="20"/>
        </w:rPr>
        <w:t>Seller;</w:t>
      </w:r>
      <w:proofErr w:type="gramEnd"/>
    </w:p>
    <w:p w:rsidRPr="00C83DF3" w:rsidR="00B71AF7" w:rsidP="00B71AF7" w:rsidRDefault="00B71AF7" w14:paraId="04965179" w14:textId="77777777">
      <w:pPr>
        <w:pStyle w:val="zGTC04"/>
        <w:rPr>
          <w:rFonts w:cs="Arial"/>
        </w:rPr>
      </w:pPr>
      <w:r>
        <w:rPr>
          <w:rFonts w:cs="Arial"/>
          <w:szCs w:val="20"/>
        </w:rPr>
        <w:t xml:space="preserve">Contracts (excluding Permits) containing a restriction on the ability of Seller or the Facility to compete with any Person, to conduct any business or line of business, or to operate in any geographic </w:t>
      </w:r>
      <w:proofErr w:type="gramStart"/>
      <w:r>
        <w:rPr>
          <w:rFonts w:cs="Arial"/>
          <w:szCs w:val="20"/>
        </w:rPr>
        <w:t>area;</w:t>
      </w:r>
      <w:proofErr w:type="gramEnd"/>
    </w:p>
    <w:p w:rsidRPr="00C83DF3" w:rsidR="00B71AF7" w:rsidP="00B71AF7" w:rsidRDefault="00B71AF7" w14:paraId="15C04116" w14:textId="77777777">
      <w:pPr>
        <w:pStyle w:val="zGTC04"/>
        <w:rPr>
          <w:rFonts w:cs="Arial"/>
        </w:rPr>
      </w:pPr>
      <w:r>
        <w:rPr>
          <w:rFonts w:cs="Arial"/>
          <w:szCs w:val="20"/>
        </w:rPr>
        <w:t xml:space="preserve">Contracts evidencing swaps, hedges, futures, or other derivatives or requiring Seller to post </w:t>
      </w:r>
      <w:proofErr w:type="gramStart"/>
      <w:r>
        <w:rPr>
          <w:rFonts w:cs="Arial"/>
          <w:szCs w:val="20"/>
        </w:rPr>
        <w:t>collateral;</w:t>
      </w:r>
      <w:proofErr w:type="gramEnd"/>
    </w:p>
    <w:p w:rsidRPr="00C83DF3" w:rsidR="00B71AF7" w:rsidP="00B71AF7" w:rsidRDefault="00B71AF7" w14:paraId="0B8DB054" w14:textId="77777777">
      <w:pPr>
        <w:pStyle w:val="zGTC04"/>
        <w:rPr>
          <w:rFonts w:cs="Arial"/>
        </w:rPr>
      </w:pPr>
      <w:r>
        <w:rPr>
          <w:rFonts w:cs="Arial"/>
          <w:szCs w:val="20"/>
        </w:rPr>
        <w:t xml:space="preserve">Contracts relating to any joint venture, partnership, or similar arrangement, including any agreement or commitment to make any loan or capital contribution to any </w:t>
      </w:r>
      <w:proofErr w:type="gramStart"/>
      <w:r>
        <w:rPr>
          <w:rFonts w:cs="Arial"/>
          <w:szCs w:val="20"/>
        </w:rPr>
        <w:t>Person;</w:t>
      </w:r>
      <w:proofErr w:type="gramEnd"/>
    </w:p>
    <w:p w:rsidRPr="00C83DF3" w:rsidR="00B71AF7" w:rsidP="00B71AF7" w:rsidRDefault="00B71AF7" w14:paraId="55B236FE" w14:textId="77777777">
      <w:pPr>
        <w:pStyle w:val="zGTC04"/>
        <w:rPr>
          <w:rFonts w:cs="Arial"/>
        </w:rPr>
      </w:pPr>
      <w:r>
        <w:rPr>
          <w:rFonts w:cs="Arial"/>
          <w:szCs w:val="20"/>
        </w:rPr>
        <w:t>powers of attorney executed by Seller, or with respect to the Facility or the Facility Assets that remain in force and effect; and</w:t>
      </w:r>
    </w:p>
    <w:p w:rsidRPr="00C83DF3" w:rsidR="00B71AF7" w:rsidP="00B71AF7" w:rsidRDefault="00B71AF7" w14:paraId="30F49C1F" w14:textId="77777777">
      <w:pPr>
        <w:pStyle w:val="zGTC04"/>
        <w:rPr>
          <w:rFonts w:cs="Arial"/>
        </w:rPr>
      </w:pPr>
      <w:r>
        <w:rPr>
          <w:rFonts w:cs="Arial"/>
          <w:szCs w:val="20"/>
        </w:rPr>
        <w:t>Contracts not terminable or cancelable by Seller upon notice of no longer than six months and without Liability, penalty, or premium to Seller.</w:t>
      </w:r>
    </w:p>
    <w:p w:rsidRPr="00C83DF3" w:rsidR="00B71AF7" w:rsidP="00B71AF7" w:rsidRDefault="00B71AF7" w14:paraId="33160FAE" w14:textId="77777777">
      <w:pPr>
        <w:pStyle w:val="zGTC03"/>
        <w:rPr>
          <w:rFonts w:cs="Arial"/>
        </w:rPr>
      </w:pPr>
      <w:r>
        <w:rPr>
          <w:rFonts w:cs="Arial"/>
          <w:b/>
          <w:bCs/>
        </w:rPr>
        <w:t>Complete Copies; No Waiver, Assignment, or Liens.</w:t>
      </w:r>
      <w:r>
        <w:rPr>
          <w:rFonts w:cs="Arial"/>
        </w:rPr>
        <w:t xml:space="preserve"> Seller has provided GPC with true, correct, and complete copies of all Facility Contracts, including any amendment, supplement, schedule, and exhibit to the Facility Contracts. No written waiver or, to Seller’s Knowledge, oral waiver of any term or condition of any Facility Contract is currently in effect. Seller has not assigned any of its interests in any Facility Contract, and none of Seller’s interests in any Facility Contract is subject to any Lien (other than a Permitted Lien).</w:t>
      </w:r>
    </w:p>
    <w:p w:rsidRPr="00C83DF3" w:rsidR="00B71AF7" w:rsidP="00B71AF7" w:rsidRDefault="00B71AF7" w14:paraId="70644573" w14:textId="48E71545">
      <w:pPr>
        <w:pStyle w:val="zGTC03"/>
        <w:rPr>
          <w:rFonts w:cs="Arial"/>
        </w:rPr>
      </w:pPr>
      <w:r>
        <w:rPr>
          <w:rFonts w:cs="Arial"/>
          <w:b/>
          <w:bCs/>
        </w:rPr>
        <w:t>Enforceability.</w:t>
      </w:r>
      <w:r>
        <w:rPr>
          <w:rFonts w:cs="Arial"/>
        </w:rPr>
        <w:t xml:space="preserve"> Each Facility Contract is in full force and effect, and constitutes the legal, valid, and binding obligation of Seller and, to Seller’s Knowledge, the other parties </w:t>
      </w:r>
      <w:r w:rsidR="002C248E">
        <w:rPr>
          <w:rFonts w:cs="Arial"/>
        </w:rPr>
        <w:t xml:space="preserve">to </w:t>
      </w:r>
      <w:r>
        <w:rPr>
          <w:rFonts w:cs="Arial"/>
        </w:rPr>
        <w:t xml:space="preserve">the Facility Contract, enforceable against Seller and, to Seller’s Knowledge, each other party to the Facility Contract, as applicable, in accordance with its terms, subject to the Remedies Exception. </w:t>
      </w:r>
    </w:p>
    <w:p w:rsidRPr="00C83DF3" w:rsidR="00B71AF7" w:rsidP="00B71AF7" w:rsidRDefault="00B71AF7" w14:paraId="51C9324E" w14:textId="7C2AA466">
      <w:pPr>
        <w:pStyle w:val="zGTC03"/>
        <w:rPr>
          <w:rFonts w:cs="Arial"/>
        </w:rPr>
      </w:pPr>
      <w:r>
        <w:rPr>
          <w:rFonts w:cs="Arial"/>
          <w:b/>
          <w:bCs/>
        </w:rPr>
        <w:t>No Default or Breach.</w:t>
      </w:r>
      <w:r>
        <w:rPr>
          <w:rFonts w:cs="Arial"/>
        </w:rPr>
        <w:t xml:space="preserve"> (i) Seller is not in default or breach in any material respect under any Facility Contract; (ii) to Seller’s Knowledge, no other party is in default or breach in any material respect under any Facility Contract; and (iii) to Seller’s Knowledge, no event, condition, or circumstance exists or has occurred that, with or without notice or the lapse of time or both, would result in a default or breach in any material respect under, or result in the termination or acceleration of, or entitle any party to accelerate any material obligation under, any Facility Contract, in each case, subject to obtaining the </w:t>
      </w:r>
      <w:r w:rsidR="003544FA">
        <w:rPr>
          <w:rFonts w:cs="Arial"/>
        </w:rPr>
        <w:t>c</w:t>
      </w:r>
      <w:r>
        <w:rPr>
          <w:rFonts w:cs="Arial"/>
        </w:rPr>
        <w:t>onsents set forth in Section 3.3 or Section 3.4 of the Seller Disclosure Schedule. Neither Seller nor, to Seller’s Knowledge, any other party has declared an event of force majeure that is continuing under any Facility Contract.</w:t>
      </w:r>
    </w:p>
    <w:p w:rsidRPr="00C83DF3" w:rsidR="00B71AF7" w:rsidP="00B71AF7" w:rsidRDefault="00B71AF7" w14:paraId="2E9BB8F9" w14:textId="77777777">
      <w:pPr>
        <w:pStyle w:val="zGTC02"/>
        <w:keepNext/>
        <w:rPr>
          <w:rFonts w:ascii="Arial" w:hAnsi="Arial" w:cs="Arial"/>
        </w:rPr>
      </w:pPr>
      <w:bookmarkStart w:name="_Toc138350360" w:id="120"/>
      <w:bookmarkStart w:name="_Toc143607203" w:id="121"/>
      <w:bookmarkStart w:name="_Toc169777896" w:id="122"/>
      <w:bookmarkStart w:name="_Toc181639412" w:id="123"/>
      <w:bookmarkStart w:name="_Toc214644732" w:id="124"/>
      <w:r>
        <w:rPr>
          <w:rFonts w:ascii="Arial" w:hAnsi="Arial" w:cs="Arial"/>
        </w:rPr>
        <w:t>Real Property.</w:t>
      </w:r>
      <w:bookmarkEnd w:id="120"/>
      <w:bookmarkEnd w:id="121"/>
      <w:bookmarkEnd w:id="122"/>
      <w:bookmarkEnd w:id="123"/>
      <w:bookmarkEnd w:id="124"/>
    </w:p>
    <w:p w:rsidRPr="00C83DF3" w:rsidR="00B71AF7" w:rsidP="00B71AF7" w:rsidRDefault="00B71AF7" w14:paraId="2713EBBF" w14:textId="67AC5771">
      <w:pPr>
        <w:pStyle w:val="zGTC03"/>
        <w:keepNext/>
        <w:rPr>
          <w:rFonts w:cs="Arial"/>
        </w:rPr>
      </w:pPr>
      <w:r>
        <w:rPr>
          <w:rFonts w:cs="Arial"/>
          <w:b/>
          <w:bCs/>
        </w:rPr>
        <w:t>Real Property Agreements.</w:t>
      </w:r>
      <w:r>
        <w:rPr>
          <w:rFonts w:cs="Arial"/>
        </w:rPr>
        <w:t xml:space="preserve"> Section 3.12.1 of the Seller Disclosure Schedule includes all Real Property Agreements, along with: (i) the legal description of each parcel of real property that is the subject of any Real Property Agreement (the real property, “</w:t>
      </w:r>
      <w:r>
        <w:rPr>
          <w:rFonts w:cs="Arial"/>
          <w:b/>
          <w:bCs/>
        </w:rPr>
        <w:t>Facility Real Property</w:t>
      </w:r>
      <w:r>
        <w:rPr>
          <w:rFonts w:cs="Arial"/>
        </w:rPr>
        <w:t xml:space="preserve">”); (ii) the names of the parties to each Real Property Agreement; and (iii) any amendment, modification, and supplement with respect to each Real Property Agreement. </w:t>
      </w:r>
      <w:r w:rsidR="002C248E">
        <w:rPr>
          <w:rFonts w:cs="Arial"/>
        </w:rPr>
        <w:t>O</w:t>
      </w:r>
      <w:r>
        <w:rPr>
          <w:rFonts w:cs="Arial"/>
        </w:rPr>
        <w:t xml:space="preserve">ther than the Facility Real Property, Seller does not own, lease, or have any other interest in any real property. The Facility Real Property constitutes </w:t>
      </w:r>
      <w:proofErr w:type="gramStart"/>
      <w:r>
        <w:rPr>
          <w:rFonts w:cs="Arial"/>
        </w:rPr>
        <w:t>all of</w:t>
      </w:r>
      <w:proofErr w:type="gramEnd"/>
      <w:r>
        <w:rPr>
          <w:rFonts w:cs="Arial"/>
        </w:rPr>
        <w:t xml:space="preserve"> the real property necessary for the ownership, operation, maintenance, and use of the Facility.</w:t>
      </w:r>
    </w:p>
    <w:p w:rsidRPr="00C83DF3" w:rsidR="00B71AF7" w:rsidP="00B71AF7" w:rsidRDefault="00B71AF7" w14:paraId="4247B635" w14:textId="77777777">
      <w:pPr>
        <w:pStyle w:val="zGTC03"/>
        <w:rPr>
          <w:rFonts w:cs="Arial"/>
        </w:rPr>
      </w:pPr>
      <w:r>
        <w:rPr>
          <w:rFonts w:cs="Arial"/>
          <w:b/>
          <w:bCs/>
          <w:szCs w:val="20"/>
        </w:rPr>
        <w:t>Complete Copies.</w:t>
      </w:r>
      <w:r>
        <w:rPr>
          <w:rFonts w:cs="Arial"/>
          <w:szCs w:val="20"/>
        </w:rPr>
        <w:t xml:space="preserve"> Seller has provided GPC with true and complete copies of:</w:t>
      </w:r>
    </w:p>
    <w:p w:rsidRPr="00C83DF3" w:rsidR="00B71AF7" w:rsidP="00B71AF7" w:rsidRDefault="00B71AF7" w14:paraId="5425F575" w14:textId="77777777">
      <w:pPr>
        <w:pStyle w:val="zGTC04"/>
        <w:rPr>
          <w:rFonts w:cs="Arial"/>
        </w:rPr>
      </w:pPr>
      <w:r>
        <w:rPr>
          <w:rFonts w:cs="Arial"/>
        </w:rPr>
        <w:t xml:space="preserve">each Real Property </w:t>
      </w:r>
      <w:proofErr w:type="gramStart"/>
      <w:r>
        <w:rPr>
          <w:rFonts w:cs="Arial"/>
        </w:rPr>
        <w:t>Agreement;</w:t>
      </w:r>
      <w:proofErr w:type="gramEnd"/>
    </w:p>
    <w:p w:rsidRPr="00C83DF3" w:rsidR="00B71AF7" w:rsidP="00B71AF7" w:rsidRDefault="00B71AF7" w14:paraId="4F465A0D" w14:textId="77777777">
      <w:pPr>
        <w:pStyle w:val="zGTC04"/>
        <w:rPr>
          <w:rFonts w:cs="Arial"/>
        </w:rPr>
      </w:pPr>
      <w:r>
        <w:rPr>
          <w:rFonts w:cs="Arial"/>
          <w:szCs w:val="20"/>
        </w:rPr>
        <w:lastRenderedPageBreak/>
        <w:t>the ALTA survey for the Facility Real Property completed on the date specified in Exhibit A-1 (</w:t>
      </w:r>
      <w:r>
        <w:rPr>
          <w:rFonts w:cs="Arial"/>
          <w:i/>
          <w:iCs/>
          <w:szCs w:val="20"/>
        </w:rPr>
        <w:t>Facility Information and Additional Details</w:t>
      </w:r>
      <w:r>
        <w:rPr>
          <w:rFonts w:cs="Arial"/>
          <w:szCs w:val="20"/>
        </w:rPr>
        <w:t xml:space="preserve">), and set forth in Section 3.12.2(ii) of the Seller Disclosure </w:t>
      </w:r>
      <w:proofErr w:type="gramStart"/>
      <w:r>
        <w:rPr>
          <w:rFonts w:cs="Arial"/>
          <w:szCs w:val="20"/>
        </w:rPr>
        <w:t>Schedule;</w:t>
      </w:r>
      <w:proofErr w:type="gramEnd"/>
    </w:p>
    <w:p w:rsidRPr="00C83DF3" w:rsidR="00B71AF7" w:rsidP="00B71AF7" w:rsidRDefault="00B71AF7" w14:paraId="58F988AD" w14:textId="119E9B72">
      <w:pPr>
        <w:pStyle w:val="zGTC04"/>
        <w:rPr>
          <w:rFonts w:cs="Arial"/>
        </w:rPr>
      </w:pPr>
      <w:r>
        <w:rPr>
          <w:rFonts w:cs="Arial"/>
        </w:rPr>
        <w:t>the Existing Title Insurance Policy and any bring down endorsements issued by the Title Company to the Existing Title Insurance Policy insuring the Facility Real Property and all exception documents referenced in the Existing Title Insurance Policy with respect to the Facility Real Property in the possession of, or reasonably available to, Seller or any of its Affiliates; and</w:t>
      </w:r>
    </w:p>
    <w:p w:rsidRPr="00C83DF3" w:rsidR="00B71AF7" w:rsidP="00B71AF7" w:rsidRDefault="00B71AF7" w14:paraId="77FD3A86" w14:textId="77777777">
      <w:pPr>
        <w:pStyle w:val="zGTC04"/>
        <w:rPr>
          <w:rFonts w:cs="Arial"/>
        </w:rPr>
      </w:pPr>
      <w:r>
        <w:rPr>
          <w:rFonts w:cs="Arial"/>
          <w:szCs w:val="20"/>
        </w:rPr>
        <w:t>all mortgages, deeds of trust, certificates of occupancy, mineral reports for any severable minerals (including any evaluation as to the feasibility or likelihood of mineral extraction and any separate chain of title for severed minerals) prepared by Seller, Seller’s Affiliates, a third party on behalf of Seller or Seller’s Affiliates, or otherwise in Seller’s possession, records searches (for any governmental records not included in any title reports), and all exception documents referenced in the reports, policies, or searches and similar documents and all amendments thereto with respect to the Facility Real Property in the possession of or reasonably available to Seller or any of its Affiliates.</w:t>
      </w:r>
    </w:p>
    <w:p w:rsidRPr="00B71D5E" w:rsidR="00B71AF7" w:rsidP="00B71AF7" w:rsidRDefault="00B71AF7" w14:paraId="48BB132D" w14:textId="7720B1DF">
      <w:pPr>
        <w:pStyle w:val="zGTC03"/>
        <w:rPr>
          <w:rFonts w:cs="Arial"/>
        </w:rPr>
      </w:pPr>
      <w:r>
        <w:rPr>
          <w:rFonts w:cs="Arial"/>
          <w:b/>
          <w:bCs/>
        </w:rPr>
        <w:t>Title; Real Property Agreements.</w:t>
      </w:r>
      <w:r>
        <w:rPr>
          <w:rFonts w:cs="Arial"/>
        </w:rPr>
        <w:t xml:space="preserve"> Seller has a valid fee interest, easement interest, leasehold interest, license, or other occupancy or use rights in respect of the Facility Real Property or any other right, interest, or option under a Real Property Agreement, as applicable, free of all Liens, other than Permitted Liens. Each Real Property Agreement is in full force and effect and constitutes the legal, valid, and binding obligation of Seller and, to Seller’s Knowledge, the other parties to the Real Property Agreements, enforceable against Seller and, to Seller’s Knowledge, each other party to the Real Property Agreements, as applicable, in accordance with its terms, subject to the Remedies Exception. Seller is not in default or breach in any material respect under any Real Property Agreement. To Seller’s Knowledge: (i) no counterparty to any Real Property Agreement is in default or breach in any material respect under any Real Property Agreement, nor has any counterparty to any Real Property Agreement repudiated any material provision of any Real Property Agreement; and (ii) no event, condition, or circumstance exists or has occurred that, with or without notice or the lapse of time or both, would constitute a breach or default in any material respect under, or result in the termination or acceleration of, or entitle any party to accelerate any material obligation under, any Real Property Agreement. </w:t>
      </w:r>
    </w:p>
    <w:p w:rsidRPr="00B71D5E" w:rsidR="00B71AF7" w:rsidP="00B71AF7" w:rsidRDefault="00B71AF7" w14:paraId="4BDB7FC9" w14:textId="4F3E28F7">
      <w:pPr>
        <w:pStyle w:val="zGTC03"/>
        <w:rPr>
          <w:rFonts w:cs="Arial"/>
        </w:rPr>
      </w:pPr>
      <w:r>
        <w:rPr>
          <w:rFonts w:cs="Arial"/>
          <w:b/>
          <w:bCs/>
          <w:szCs w:val="20"/>
        </w:rPr>
        <w:t>Improvements.</w:t>
      </w:r>
      <w:r>
        <w:rPr>
          <w:rFonts w:cs="Arial"/>
          <w:szCs w:val="20"/>
        </w:rPr>
        <w:t xml:space="preserve"> Seller owns, and has good and marketable title to, all Improvements that are used in the operation of the Facility, free of all Liens, other than Permitted Liens</w:t>
      </w:r>
      <w:r>
        <w:rPr>
          <w:rFonts w:cs="Arial"/>
          <w:szCs w:val="20"/>
          <w:highlight w:val="yellow"/>
        </w:rPr>
        <w:t xml:space="preserve">[, except for the Improvements identified in </w:t>
      </w:r>
      <w:r w:rsidR="004F0CEA">
        <w:rPr>
          <w:rFonts w:cs="Arial"/>
          <w:szCs w:val="20"/>
          <w:highlight w:val="yellow"/>
        </w:rPr>
        <w:t>Section</w:t>
      </w:r>
      <w:r>
        <w:rPr>
          <w:rFonts w:cs="Arial"/>
          <w:szCs w:val="20"/>
          <w:highlight w:val="yellow"/>
        </w:rPr>
        <w:t xml:space="preserve"> 3.14.1(i</w:t>
      </w:r>
      <w:r w:rsidR="00F57D48">
        <w:rPr>
          <w:rFonts w:cs="Arial"/>
          <w:szCs w:val="20"/>
          <w:highlight w:val="yellow"/>
        </w:rPr>
        <w:t>i</w:t>
      </w:r>
      <w:r>
        <w:rPr>
          <w:rFonts w:cs="Arial"/>
          <w:szCs w:val="20"/>
          <w:highlight w:val="yellow"/>
        </w:rPr>
        <w:t>) of the Seller Disclosure Schedule</w:t>
      </w:r>
      <w:r w:rsidR="00E64630">
        <w:rPr>
          <w:rFonts w:cs="Arial"/>
          <w:szCs w:val="20"/>
          <w:highlight w:val="yellow"/>
        </w:rPr>
        <w:t xml:space="preserve">, </w:t>
      </w:r>
      <w:r w:rsidR="003A1744">
        <w:rPr>
          <w:rFonts w:cs="Arial"/>
          <w:szCs w:val="20"/>
          <w:highlight w:val="yellow"/>
        </w:rPr>
        <w:t xml:space="preserve">each of which </w:t>
      </w:r>
      <w:r>
        <w:rPr>
          <w:rFonts w:cs="Arial"/>
          <w:szCs w:val="20"/>
          <w:highlight w:val="yellow"/>
        </w:rPr>
        <w:t>Seller has a valid leasehold or other right to use in accordance with a Real Property Agreement]</w:t>
      </w:r>
      <w:r>
        <w:rPr>
          <w:rFonts w:cs="Arial"/>
          <w:szCs w:val="20"/>
        </w:rPr>
        <w:t>.</w:t>
      </w:r>
      <w:r>
        <w:rPr>
          <w:rFonts w:cs="Arial"/>
          <w:b/>
          <w:bCs/>
          <w:szCs w:val="20"/>
          <w:highlight w:val="cyan"/>
        </w:rPr>
        <w:t>[</w:t>
      </w:r>
      <w:r>
        <w:rPr>
          <w:rFonts w:cs="Arial"/>
          <w:b/>
          <w:bCs/>
          <w:i/>
          <w:iCs/>
          <w:szCs w:val="20"/>
          <w:highlight w:val="cyan"/>
          <w:u w:val="single"/>
        </w:rPr>
        <w:t>Note to Bidders</w:t>
      </w:r>
      <w:r>
        <w:rPr>
          <w:rFonts w:cs="Arial"/>
          <w:b/>
          <w:bCs/>
          <w:i/>
          <w:iCs/>
          <w:szCs w:val="20"/>
          <w:highlight w:val="cyan"/>
        </w:rPr>
        <w:t>: Placeholder language to be included if applicable</w:t>
      </w:r>
      <w:r>
        <w:rPr>
          <w:rFonts w:cs="Arial"/>
          <w:b/>
          <w:bCs/>
          <w:szCs w:val="20"/>
          <w:highlight w:val="cyan"/>
        </w:rPr>
        <w:t>.]</w:t>
      </w:r>
    </w:p>
    <w:p w:rsidRPr="00C83DF3" w:rsidR="00B71AF7" w:rsidP="00B71AF7" w:rsidRDefault="00B71AF7" w14:paraId="3EC22513" w14:textId="77777777">
      <w:pPr>
        <w:pStyle w:val="zGTC03"/>
        <w:rPr>
          <w:rFonts w:cs="Arial"/>
        </w:rPr>
      </w:pPr>
      <w:r>
        <w:rPr>
          <w:rFonts w:cs="Arial"/>
          <w:b/>
          <w:bCs/>
          <w:szCs w:val="20"/>
        </w:rPr>
        <w:t>No Sublease.</w:t>
      </w:r>
      <w:r>
        <w:rPr>
          <w:rFonts w:cs="Arial"/>
          <w:szCs w:val="20"/>
        </w:rPr>
        <w:t xml:space="preserve"> Excluding those rights granted to GPC under Sections 5.2.2 (</w:t>
      </w:r>
      <w:r>
        <w:rPr>
          <w:rFonts w:cs="Arial"/>
          <w:i/>
          <w:iCs/>
          <w:szCs w:val="20"/>
        </w:rPr>
        <w:t>GPC On-Site Representatives</w:t>
      </w:r>
      <w:r>
        <w:rPr>
          <w:rFonts w:cs="Arial"/>
          <w:szCs w:val="20"/>
        </w:rPr>
        <w:t>) and 5.3.6 (</w:t>
      </w:r>
      <w:r>
        <w:rPr>
          <w:rFonts w:cs="Arial"/>
          <w:i/>
          <w:iCs/>
          <w:szCs w:val="20"/>
        </w:rPr>
        <w:t>Transitional Matters</w:t>
      </w:r>
      <w:r>
        <w:rPr>
          <w:rFonts w:cs="Arial"/>
          <w:szCs w:val="20"/>
        </w:rPr>
        <w:t>), Seller has not subleased or otherwise granted any Person the right to use or occupy any Facility Real Property or any portion thereof, or granted any outstanding options, rights of first refusal, rights of first offer, or other third-party rights to sell, assign, or dispose of any interest in the Facility Real Property.</w:t>
      </w:r>
    </w:p>
    <w:p w:rsidRPr="00C83DF3" w:rsidR="00B71AF7" w:rsidP="00B71AF7" w:rsidRDefault="00B71AF7" w14:paraId="391528B0" w14:textId="13B11C17">
      <w:pPr>
        <w:pStyle w:val="zGTC03"/>
        <w:rPr>
          <w:rFonts w:cs="Arial"/>
        </w:rPr>
      </w:pPr>
      <w:r>
        <w:rPr>
          <w:rFonts w:cs="Arial"/>
          <w:b/>
        </w:rPr>
        <w:t>Zoning and Land Use Approvals.</w:t>
      </w:r>
      <w:r>
        <w:rPr>
          <w:rFonts w:cs="Arial"/>
        </w:rPr>
        <w:t xml:space="preserve"> The zoning and land use approvals from the applicable Governmental Authority for the Facility Real Property permit the ownership, operation, maintenance, and use of the Facility thereon. Seller has not received any written notice of any appropriation, condemnation, or </w:t>
      </w:r>
      <w:proofErr w:type="gramStart"/>
      <w:r>
        <w:rPr>
          <w:rFonts w:cs="Arial"/>
        </w:rPr>
        <w:t>like proceeding</w:t>
      </w:r>
      <w:proofErr w:type="gramEnd"/>
      <w:r>
        <w:rPr>
          <w:rFonts w:cs="Arial"/>
        </w:rPr>
        <w:t xml:space="preserve">, or of any violation of any applicable zoning or land use </w:t>
      </w:r>
      <w:r>
        <w:t>law,</w:t>
      </w:r>
      <w:r>
        <w:rPr>
          <w:rFonts w:cs="Arial"/>
        </w:rPr>
        <w:t xml:space="preserve"> or other </w:t>
      </w:r>
      <w:r>
        <w:t>law</w:t>
      </w:r>
      <w:r>
        <w:rPr>
          <w:rFonts w:cs="Arial"/>
        </w:rPr>
        <w:t xml:space="preserve"> relating to or affecting any of the Facility Real Property. To Seller’s Knowledge: (i) there are no pending or threatened Actions to condemn any portion of the Facility Real Property, to modify the zoning classification or any land use approvals affecting any of the Facility Real Property, or to take by power of eminent domain or other governmental power any of the Facility Real Property; (ii) there are no outstanding unpaid assessment notices against any of the Facility Real Property; and (iii) the Facility Real Property is in compliance in all material respects with applicable </w:t>
      </w:r>
      <w:r>
        <w:t>law</w:t>
      </w:r>
      <w:r>
        <w:rPr>
          <w:rFonts w:cs="Arial"/>
        </w:rPr>
        <w:t>s, Permits, zoning, regulations, and restrictive covenants applicable to the Facility Real Property. Neither Seller nor, to Seller’s Knowledge, any other party to the Real Property Agreements has declared an event of force majeure that is continuing under any Real Property Agreement.</w:t>
      </w:r>
    </w:p>
    <w:p w:rsidRPr="00C83DF3" w:rsidR="00B71AF7" w:rsidP="00B71AF7" w:rsidRDefault="00B71AF7" w14:paraId="7BC6B928" w14:textId="77777777">
      <w:pPr>
        <w:pStyle w:val="zGTC03"/>
        <w:rPr>
          <w:rFonts w:cs="Arial"/>
        </w:rPr>
      </w:pPr>
      <w:r>
        <w:rPr>
          <w:rFonts w:cs="Arial"/>
          <w:b/>
          <w:bCs/>
          <w:szCs w:val="20"/>
        </w:rPr>
        <w:t>Fees and Rents.</w:t>
      </w:r>
      <w:r>
        <w:rPr>
          <w:rFonts w:cs="Arial"/>
          <w:szCs w:val="20"/>
        </w:rPr>
        <w:t xml:space="preserve"> Except as set forth in the Real Property Agreements, there are no fees, rents, decommissioning obligations, royalties, or other amounts incurred, payable, or receivable by Seller in connection with the Facility Real Property. All amounts currently due and payable (other than any amount </w:t>
      </w:r>
      <w:r>
        <w:rPr>
          <w:rFonts w:cs="Arial"/>
          <w:szCs w:val="20"/>
        </w:rPr>
        <w:lastRenderedPageBreak/>
        <w:t>being contested in good faith that are set forth in Section 3.12.7 of the Seller Disclosure Schedule) under any Real Property Agreement have been paid.</w:t>
      </w:r>
    </w:p>
    <w:p w:rsidRPr="00B71D5E" w:rsidR="00B71AF7" w:rsidP="00B71AF7" w:rsidRDefault="00B71AF7" w14:paraId="11BA2FD7" w14:textId="77777777">
      <w:pPr>
        <w:pStyle w:val="zGTC03"/>
        <w:rPr>
          <w:rFonts w:cs="Arial"/>
        </w:rPr>
      </w:pPr>
      <w:r>
        <w:rPr>
          <w:rFonts w:cs="Arial"/>
          <w:b/>
          <w:bCs/>
          <w:szCs w:val="20"/>
        </w:rPr>
        <w:t>Mineral Rights.</w:t>
      </w:r>
      <w:r>
        <w:rPr>
          <w:rFonts w:cs="Arial"/>
          <w:szCs w:val="20"/>
        </w:rPr>
        <w:t xml:space="preserve"> Except as set forth in Section 3.12.8 of the Seller Disclosure Schedule, no Person has the right to use, or to limit Seller’s use of, the surface of the Facility Real Property for the exploration, development, or extraction of minerals or other subsurface substances.</w:t>
      </w:r>
    </w:p>
    <w:p w:rsidRPr="00B71D5E" w:rsidR="00B71AF7" w:rsidP="00B71AF7" w:rsidRDefault="00B71AF7" w14:paraId="2ECA0BC5" w14:textId="77777777">
      <w:pPr>
        <w:pStyle w:val="zGTC02"/>
        <w:rPr>
          <w:rFonts w:ascii="Arial" w:hAnsi="Arial" w:cs="Arial"/>
        </w:rPr>
      </w:pPr>
      <w:bookmarkStart w:name="_Toc138350361" w:id="125"/>
      <w:bookmarkStart w:name="_Toc143607204" w:id="126"/>
      <w:bookmarkStart w:name="_Toc169777897" w:id="127"/>
      <w:bookmarkStart w:name="_Toc181639413" w:id="128"/>
      <w:bookmarkStart w:name="_Toc214644733" w:id="129"/>
      <w:r>
        <w:rPr>
          <w:rFonts w:ascii="Arial" w:hAnsi="Arial" w:cs="Arial"/>
        </w:rPr>
        <w:t xml:space="preserve">Title </w:t>
      </w:r>
      <w:proofErr w:type="gramStart"/>
      <w:r>
        <w:rPr>
          <w:rFonts w:ascii="Arial" w:hAnsi="Arial" w:cs="Arial"/>
        </w:rPr>
        <w:t>to</w:t>
      </w:r>
      <w:proofErr w:type="gramEnd"/>
      <w:r>
        <w:rPr>
          <w:rFonts w:ascii="Arial" w:hAnsi="Arial" w:cs="Arial"/>
        </w:rPr>
        <w:t xml:space="preserve"> Facility Assets.</w:t>
      </w:r>
      <w:bookmarkEnd w:id="125"/>
      <w:bookmarkEnd w:id="126"/>
      <w:bookmarkEnd w:id="127"/>
      <w:bookmarkEnd w:id="128"/>
      <w:bookmarkEnd w:id="129"/>
      <w:r>
        <w:rPr>
          <w:rFonts w:ascii="Arial" w:hAnsi="Arial" w:cs="Arial"/>
        </w:rPr>
        <w:t xml:space="preserve"> </w:t>
      </w:r>
    </w:p>
    <w:p w:rsidRPr="00B71D5E" w:rsidR="00B71AF7" w:rsidP="00B71AF7" w:rsidRDefault="00B71AF7" w14:paraId="1832550B" w14:textId="77777777">
      <w:pPr>
        <w:pStyle w:val="zGTC03"/>
        <w:rPr>
          <w:rFonts w:cs="Arial"/>
        </w:rPr>
      </w:pPr>
      <w:r>
        <w:rPr>
          <w:rFonts w:cs="Arial"/>
          <w:b/>
          <w:bCs/>
        </w:rPr>
        <w:t>Title</w:t>
      </w:r>
      <w:r>
        <w:rPr>
          <w:rFonts w:cs="Arial"/>
        </w:rPr>
        <w:t>. Seller has good and valid title to, or a valid leasehold or license interest in, the Facility Assets constituting personal property (as opposed to real property), free of all Liens other than Permitted Liens. As of the Closing Date: (i) GPC will acquire good and valid title to, or a valid leasehold or license interest in, the Facility Assets constituting personal property (as opposed to real property), free of all Liens other than Permitted Liens; and (ii) the Facility Assets constituting personal property (as opposed to real property) will constitute all of the material tangible personal property required for the ownership, operation, maintenance, repair, and use of the Facility as currently operated by or on behalf of Seller in accordance with Prudent Utility Practices.</w:t>
      </w:r>
    </w:p>
    <w:p w:rsidRPr="00B71D5E" w:rsidR="00B71AF7" w:rsidP="00B71AF7" w:rsidRDefault="00B71AF7" w14:paraId="5DF53D9E" w14:textId="77777777">
      <w:pPr>
        <w:pStyle w:val="zGTC03"/>
        <w:rPr>
          <w:rFonts w:cs="Arial"/>
        </w:rPr>
      </w:pPr>
      <w:r>
        <w:rPr>
          <w:rFonts w:cs="Arial"/>
          <w:b/>
          <w:bCs/>
        </w:rPr>
        <w:t>No Third-Party Rights.</w:t>
      </w:r>
      <w:r>
        <w:rPr>
          <w:rFonts w:cs="Arial"/>
        </w:rPr>
        <w:t xml:space="preserve"> No Person other than Seller owns or has any interest in, or option or other right (contingent or otherwise), including a right of first refusal or a right of first offer, with respect to, or has any Lien (other than Permitted Liens) on, any of the Facility Assets constituting personal property (as opposed to real property). There are no adverse claims of ownership to any of the Facility Assets constituting personal property (as opposed to real property), and neither Seller nor any of its Affiliates has received any notice that any Person has asserted a claim of ownership or right of possession or use in or to any of the Facility Assets constituting personal property (as opposed to real property).</w:t>
      </w:r>
      <w:bookmarkStart w:name="_Toc138350362" w:id="130"/>
    </w:p>
    <w:p w:rsidRPr="00B71D5E" w:rsidR="00B71AF7" w:rsidP="00B71AF7" w:rsidRDefault="00B71AF7" w14:paraId="2449C033" w14:textId="77777777">
      <w:pPr>
        <w:pStyle w:val="zGTC02"/>
        <w:rPr>
          <w:rFonts w:ascii="Arial" w:hAnsi="Arial" w:cs="Arial"/>
        </w:rPr>
      </w:pPr>
      <w:bookmarkStart w:name="_Toc143607205" w:id="131"/>
      <w:bookmarkStart w:name="_Toc169777898" w:id="132"/>
      <w:bookmarkStart w:name="_Toc181639414" w:id="133"/>
      <w:bookmarkStart w:name="_Toc214644734" w:id="134"/>
      <w:r>
        <w:rPr>
          <w:rFonts w:ascii="Arial" w:hAnsi="Arial" w:cs="Arial"/>
        </w:rPr>
        <w:t>Condition and Sufficiency of Facility Assets.</w:t>
      </w:r>
      <w:bookmarkEnd w:id="130"/>
      <w:bookmarkEnd w:id="131"/>
      <w:bookmarkEnd w:id="132"/>
      <w:bookmarkEnd w:id="133"/>
      <w:bookmarkEnd w:id="134"/>
      <w:r>
        <w:rPr>
          <w:rFonts w:ascii="Arial" w:hAnsi="Arial" w:cs="Arial"/>
        </w:rPr>
        <w:t xml:space="preserve"> </w:t>
      </w:r>
    </w:p>
    <w:p w:rsidRPr="00C83DF3" w:rsidR="00B71AF7" w:rsidP="00B71AF7" w:rsidRDefault="00B71AF7" w14:paraId="3C5F2A49" w14:textId="1192B3E1">
      <w:pPr>
        <w:pStyle w:val="zGTC03"/>
        <w:rPr>
          <w:rFonts w:cs="Arial"/>
        </w:rPr>
      </w:pPr>
      <w:r>
        <w:rPr>
          <w:rFonts w:cs="Arial"/>
          <w:b/>
          <w:bCs/>
        </w:rPr>
        <w:t>Condition of Facility Assets.</w:t>
      </w:r>
      <w:r>
        <w:rPr>
          <w:rFonts w:cs="Arial"/>
        </w:rPr>
        <w:t xml:space="preserve"> All Facility Equipment, Improvements, and other Facility Assets constituting </w:t>
      </w:r>
      <w:r w:rsidR="004F32EE">
        <w:rPr>
          <w:rFonts w:cs="Arial"/>
        </w:rPr>
        <w:t xml:space="preserve">tangible </w:t>
      </w:r>
      <w:r>
        <w:rPr>
          <w:rFonts w:cs="Arial"/>
        </w:rPr>
        <w:t>personal property: (i) are in normal operational condition for similar assets of a similar age and are in good working order, except for ordinary wear and tear; (ii) are adequate for the uses to which they are being put; and (iii) have been maintained in accordance with Prudent Utility Practice. All Facility Equipment and Improvements are, and immediately before the Closing will be, located at the Facility Real Property. Section 3.14.1(i) of the Seller Disclosure Schedule contains a true, correct, and complete list and description of all Facility Equipment, and Section 3.14.1(ii) of the Seller Disclosure Schedule contains a true, correct, and complete list and description of all Improvements.</w:t>
      </w:r>
    </w:p>
    <w:p w:rsidRPr="00C83DF3" w:rsidR="00B71AF7" w:rsidP="00B71AF7" w:rsidRDefault="00B71AF7" w14:paraId="29E6107B" w14:textId="0732F6CF">
      <w:pPr>
        <w:pStyle w:val="zGTC03"/>
        <w:rPr>
          <w:rFonts w:cs="Arial"/>
        </w:rPr>
      </w:pPr>
      <w:r>
        <w:rPr>
          <w:rFonts w:cs="Arial"/>
          <w:b/>
          <w:bCs/>
          <w:szCs w:val="20"/>
        </w:rPr>
        <w:t>Quantity and Type of Inventory.</w:t>
      </w:r>
      <w:r>
        <w:rPr>
          <w:rFonts w:cs="Arial"/>
          <w:szCs w:val="20"/>
        </w:rPr>
        <w:t xml:space="preserve"> The Facility Assets include a quantity and type of inventory of materials, supplies, and spare parts that </w:t>
      </w:r>
      <w:proofErr w:type="gramStart"/>
      <w:r>
        <w:rPr>
          <w:rFonts w:cs="Arial"/>
          <w:szCs w:val="20"/>
        </w:rPr>
        <w:t>is</w:t>
      </w:r>
      <w:proofErr w:type="gramEnd"/>
      <w:r>
        <w:rPr>
          <w:rFonts w:cs="Arial"/>
          <w:szCs w:val="20"/>
        </w:rPr>
        <w:t xml:space="preserve"> adequate in all material respects for the ownership, operation, maintenance, repair, and use of the Facility in accordance with Prudent Utility Practice.</w:t>
      </w:r>
    </w:p>
    <w:p w:rsidRPr="00C83DF3" w:rsidR="00B71AF7" w:rsidP="00B71AF7" w:rsidRDefault="00B71AF7" w14:paraId="7A130FFA" w14:textId="0EBCB053">
      <w:pPr>
        <w:pStyle w:val="zGTC03"/>
        <w:rPr>
          <w:rFonts w:cs="Arial"/>
        </w:rPr>
      </w:pPr>
      <w:r>
        <w:rPr>
          <w:rFonts w:cs="Arial"/>
          <w:b/>
          <w:bCs/>
          <w:szCs w:val="20"/>
        </w:rPr>
        <w:t>Sufficiency of Facility Assets.</w:t>
      </w:r>
      <w:r>
        <w:rPr>
          <w:rFonts w:cs="Arial"/>
          <w:szCs w:val="20"/>
        </w:rPr>
        <w:t xml:space="preserve"> The Facility Assets are sufficient for GPC to own, operate, maintain, repair, and use the Facility immediately following the Closing: (i) in the same manner as conducted immediately </w:t>
      </w:r>
      <w:r w:rsidR="0090318B">
        <w:rPr>
          <w:rFonts w:cs="Arial"/>
          <w:szCs w:val="20"/>
        </w:rPr>
        <w:t>before</w:t>
      </w:r>
      <w:r>
        <w:rPr>
          <w:rFonts w:cs="Arial"/>
          <w:szCs w:val="20"/>
        </w:rPr>
        <w:t xml:space="preserve"> the Closing; and (ii) in accordance with applicable </w:t>
      </w:r>
      <w:r>
        <w:t>law</w:t>
      </w:r>
      <w:r>
        <w:rPr>
          <w:rFonts w:cs="Arial"/>
          <w:szCs w:val="20"/>
        </w:rPr>
        <w:t xml:space="preserve">s, the Facility Permits, Prudent Utility Practice, and the Facility Contracts. </w:t>
      </w:r>
      <w:r w:rsidR="00916799">
        <w:rPr>
          <w:rFonts w:cs="Arial"/>
          <w:szCs w:val="20"/>
        </w:rPr>
        <w:t>T</w:t>
      </w:r>
      <w:r>
        <w:rPr>
          <w:rFonts w:cs="Arial"/>
          <w:szCs w:val="20"/>
        </w:rPr>
        <w:t>here are no material Contracts, equipment, materials, spare parts, buildings, facilities, Permits, real property interests, insurance policies, Intellectual Property rights, or other rights, assets or properties, other than:</w:t>
      </w:r>
      <w:r w:rsidR="00916799">
        <w:rPr>
          <w:rFonts w:cs="Arial"/>
          <w:szCs w:val="20"/>
        </w:rPr>
        <w:t xml:space="preserve"> (a) Facility Assets</w:t>
      </w:r>
      <w:r w:rsidR="002A0A24">
        <w:rPr>
          <w:rFonts w:cs="Arial"/>
          <w:szCs w:val="20"/>
        </w:rPr>
        <w:t xml:space="preserve">; </w:t>
      </w:r>
      <w:r>
        <w:rPr>
          <w:rFonts w:cs="Arial"/>
          <w:szCs w:val="20"/>
        </w:rPr>
        <w:t>(</w:t>
      </w:r>
      <w:r w:rsidR="00916799">
        <w:rPr>
          <w:rFonts w:cs="Arial"/>
          <w:szCs w:val="20"/>
        </w:rPr>
        <w:t>b</w:t>
      </w:r>
      <w:r>
        <w:rPr>
          <w:rFonts w:cs="Arial"/>
          <w:szCs w:val="20"/>
        </w:rPr>
        <w:t>) Facility Contracts and Facility Permits that are not transferrable; (</w:t>
      </w:r>
      <w:r w:rsidR="002A0A24">
        <w:rPr>
          <w:rFonts w:cs="Arial"/>
          <w:szCs w:val="20"/>
        </w:rPr>
        <w:t>c</w:t>
      </w:r>
      <w:r>
        <w:rPr>
          <w:rFonts w:cs="Arial"/>
          <w:szCs w:val="20"/>
        </w:rPr>
        <w:t xml:space="preserve">) any </w:t>
      </w:r>
      <w:r w:rsidR="00DC6806">
        <w:rPr>
          <w:rFonts w:cs="Arial"/>
          <w:szCs w:val="20"/>
        </w:rPr>
        <w:t>c</w:t>
      </w:r>
      <w:r>
        <w:rPr>
          <w:rFonts w:cs="Arial"/>
          <w:szCs w:val="20"/>
        </w:rPr>
        <w:t>onsents set forth in Section 3.3 or Section 3.4 of the Seller Disclosure Schedule required to transfer ownership of the Facility Assets; and (</w:t>
      </w:r>
      <w:r w:rsidR="002A0A24">
        <w:rPr>
          <w:rFonts w:cs="Arial"/>
          <w:szCs w:val="20"/>
        </w:rPr>
        <w:t>d</w:t>
      </w:r>
      <w:r>
        <w:rPr>
          <w:rFonts w:cs="Arial"/>
          <w:szCs w:val="20"/>
        </w:rPr>
        <w:t xml:space="preserve">) the Transaction Documents required to transfer ownership of the Facility Assets required to own, operate, maintain, repair, and use the Facility: (I) in the same manner as conducted immediately </w:t>
      </w:r>
      <w:r w:rsidR="0090318B">
        <w:rPr>
          <w:rFonts w:cs="Arial"/>
          <w:szCs w:val="20"/>
        </w:rPr>
        <w:t>before</w:t>
      </w:r>
      <w:r>
        <w:rPr>
          <w:rFonts w:cs="Arial"/>
          <w:szCs w:val="20"/>
        </w:rPr>
        <w:t xml:space="preserve"> the Closing; and (II) in accordance with applicable </w:t>
      </w:r>
      <w:r>
        <w:t>law</w:t>
      </w:r>
      <w:r>
        <w:rPr>
          <w:rFonts w:cs="Arial"/>
          <w:szCs w:val="20"/>
        </w:rPr>
        <w:t>s, the Facility Permits, Prudent Utility Practice, and the Facility Contracts.</w:t>
      </w:r>
    </w:p>
    <w:p w:rsidRPr="00C83DF3" w:rsidR="00B71AF7" w:rsidP="00B71AF7" w:rsidRDefault="00B71AF7" w14:paraId="4858ED18" w14:textId="77777777">
      <w:pPr>
        <w:pStyle w:val="zGTC02"/>
        <w:rPr>
          <w:rFonts w:ascii="Arial" w:hAnsi="Arial" w:cs="Arial"/>
          <w:vanish/>
          <w:specVanish/>
        </w:rPr>
      </w:pPr>
      <w:bookmarkStart w:name="_Toc138350363" w:id="135"/>
      <w:bookmarkStart w:name="_Toc143607206" w:id="136"/>
      <w:bookmarkStart w:name="_Toc169777899" w:id="137"/>
      <w:bookmarkStart w:name="_Toc181639415" w:id="138"/>
      <w:bookmarkStart w:name="_Toc214644735" w:id="139"/>
      <w:r>
        <w:rPr>
          <w:rFonts w:ascii="Arial" w:hAnsi="Arial" w:cs="Arial"/>
        </w:rPr>
        <w:t>No Damage.</w:t>
      </w:r>
      <w:bookmarkEnd w:id="135"/>
      <w:bookmarkEnd w:id="136"/>
      <w:bookmarkEnd w:id="137"/>
      <w:bookmarkEnd w:id="138"/>
      <w:bookmarkEnd w:id="139"/>
    </w:p>
    <w:p w:rsidRPr="00C83DF3" w:rsidR="00B71AF7" w:rsidP="00B71AF7" w:rsidRDefault="00B71AF7" w14:paraId="168C948D" w14:textId="77777777">
      <w:pPr>
        <w:pStyle w:val="zGNormal"/>
        <w:spacing w:after="120"/>
      </w:pPr>
      <w:r>
        <w:t xml:space="preserve"> Subject to Section 5.17 (</w:t>
      </w:r>
      <w:r>
        <w:rPr>
          <w:i/>
          <w:iCs/>
        </w:rPr>
        <w:t>Casualty Loss</w:t>
      </w:r>
      <w:r>
        <w:t>), there has been no material damage to or destruction of the Facility or the Facility Assets that: (i) has not been repaired; or (ii) is not required to be repaired pursuant to a Facility Contract. There are no pending claims for defective design, work, equipment, or materials relating to the Facility made by Seller or its Affiliates against any Person.</w:t>
      </w:r>
    </w:p>
    <w:p w:rsidRPr="00C83DF3" w:rsidR="00B71AF7" w:rsidP="00B71AF7" w:rsidRDefault="00B71AF7" w14:paraId="2A2BAF1B" w14:textId="77777777">
      <w:pPr>
        <w:pStyle w:val="zGTC02"/>
        <w:rPr>
          <w:rFonts w:ascii="Arial" w:hAnsi="Arial" w:cs="Arial"/>
        </w:rPr>
      </w:pPr>
      <w:bookmarkStart w:name="_Toc138350364" w:id="140"/>
      <w:bookmarkStart w:name="_Toc143607207" w:id="141"/>
      <w:bookmarkStart w:name="_Toc169777900" w:id="142"/>
      <w:bookmarkStart w:name="_Toc181639416" w:id="143"/>
      <w:bookmarkStart w:name="_Toc214644736" w:id="144"/>
      <w:r>
        <w:rPr>
          <w:rFonts w:ascii="Arial" w:hAnsi="Arial" w:cs="Arial"/>
        </w:rPr>
        <w:t>Financial Statements.</w:t>
      </w:r>
      <w:bookmarkEnd w:id="140"/>
      <w:bookmarkEnd w:id="141"/>
      <w:bookmarkEnd w:id="142"/>
      <w:bookmarkEnd w:id="143"/>
      <w:bookmarkEnd w:id="144"/>
      <w:r>
        <w:rPr>
          <w:rFonts w:ascii="Arial" w:hAnsi="Arial" w:cs="Arial"/>
        </w:rPr>
        <w:t xml:space="preserve"> </w:t>
      </w:r>
    </w:p>
    <w:p w:rsidRPr="00C83DF3" w:rsidR="00B71AF7" w:rsidP="00B71AF7" w:rsidRDefault="00B71AF7" w14:paraId="68E95607" w14:textId="253AC96A">
      <w:pPr>
        <w:pStyle w:val="zGTC03"/>
        <w:rPr>
          <w:rFonts w:cs="Arial"/>
        </w:rPr>
      </w:pPr>
      <w:r>
        <w:rPr>
          <w:rFonts w:cs="Arial"/>
          <w:b/>
          <w:bCs/>
        </w:rPr>
        <w:t>Seller Financial Statements.</w:t>
      </w:r>
      <w:r>
        <w:rPr>
          <w:rFonts w:cs="Arial"/>
        </w:rPr>
        <w:t xml:space="preserve"> Seller has delivered to GPC true and complete copies of: (i) the unaudited balance sheet (“</w:t>
      </w:r>
      <w:r>
        <w:rPr>
          <w:rFonts w:cs="Arial"/>
          <w:b/>
          <w:bCs/>
        </w:rPr>
        <w:t>Interim Balance Sheet</w:t>
      </w:r>
      <w:r>
        <w:rPr>
          <w:rFonts w:cs="Arial"/>
        </w:rPr>
        <w:t>”) of Seller as of the Interim Balance Sheet Date, and the related statements of operations and comprehensive income and statements of members’ equity and cash flows for the period then ended as specified in Exhibit A-1 (</w:t>
      </w:r>
      <w:r>
        <w:rPr>
          <w:rFonts w:cs="Arial"/>
          <w:i/>
          <w:iCs/>
        </w:rPr>
        <w:t xml:space="preserve">Facility Information and Additional </w:t>
      </w:r>
      <w:r>
        <w:rPr>
          <w:rFonts w:cs="Arial"/>
          <w:i/>
          <w:iCs/>
        </w:rPr>
        <w:lastRenderedPageBreak/>
        <w:t>Details</w:t>
      </w:r>
      <w:r>
        <w:rPr>
          <w:rFonts w:cs="Arial"/>
        </w:rPr>
        <w:t>); and (ii) the unaudited balance sheet of Seller as of December 31 of the year specified in Exhibit A-1, and the related statements of operations and comprehensive income and statements of members’ equity and cash flows for the fiscal year period then ended (collectively, “</w:t>
      </w:r>
      <w:r>
        <w:rPr>
          <w:rFonts w:cs="Arial"/>
          <w:b/>
          <w:bCs/>
        </w:rPr>
        <w:t>Financial Statements</w:t>
      </w:r>
      <w:r>
        <w:rPr>
          <w:rFonts w:cs="Arial"/>
        </w:rPr>
        <w:t xml:space="preserve">”). Except as set forth in the Financial Statements, the Financial Statements present fairly, in all material respects, the financial position, statements of operations and comprehensive income, members’ equity, and cash flows of Seller as of the respective dates thereof and for the applicable periods covered thereby. The Financial Statements have been derived from, and are consistent with, and accurately reflect in all material respects, the books and records of Seller. Except as set forth </w:t>
      </w:r>
      <w:r w:rsidR="005A47DB">
        <w:rPr>
          <w:rFonts w:cs="Arial"/>
        </w:rPr>
        <w:t>in the Financial Statements</w:t>
      </w:r>
      <w:r>
        <w:rPr>
          <w:rFonts w:cs="Arial"/>
        </w:rPr>
        <w:t xml:space="preserve"> and for normal year-end adjustments (none of which would reasonably be expected to be material) and the absence of complete footnotes, the Financial Statements have been prepared in accordance with GAAP consistently applied throughout the applicable periods covered thereby.</w:t>
      </w:r>
    </w:p>
    <w:p w:rsidRPr="00C83DF3" w:rsidR="00B71AF7" w:rsidP="00B71AF7" w:rsidRDefault="00B71AF7" w14:paraId="5A9645B9" w14:textId="535D257A">
      <w:pPr>
        <w:pStyle w:val="zGTC03"/>
        <w:rPr>
          <w:rFonts w:cs="Arial"/>
        </w:rPr>
      </w:pPr>
      <w:r>
        <w:rPr>
          <w:rFonts w:cs="Arial"/>
          <w:b/>
          <w:bCs/>
          <w:szCs w:val="20"/>
        </w:rPr>
        <w:t>Guarantor Financial Statements.</w:t>
      </w:r>
      <w:r>
        <w:rPr>
          <w:rFonts w:cs="Arial"/>
          <w:szCs w:val="20"/>
        </w:rPr>
        <w:t xml:space="preserve"> Seller has delivered to GPC true and complete copies of: (i) the unaudited balance sheet of Seller Guarantor as of the Interim Balance Sheet Date, and the related statements of operations and comprehensive income and statements of members’ equity and cash flows for the  period then ended</w:t>
      </w:r>
      <w:r>
        <w:rPr>
          <w:rFonts w:cs="Arial"/>
        </w:rPr>
        <w:t xml:space="preserve"> as specified in Exhibit A-1 (</w:t>
      </w:r>
      <w:r>
        <w:rPr>
          <w:rFonts w:cs="Arial"/>
          <w:i/>
          <w:iCs/>
        </w:rPr>
        <w:t>Facility Information and Additional Details</w:t>
      </w:r>
      <w:r>
        <w:rPr>
          <w:rFonts w:cs="Arial"/>
        </w:rPr>
        <w:t>)</w:t>
      </w:r>
      <w:r>
        <w:rPr>
          <w:rFonts w:cs="Arial"/>
          <w:szCs w:val="20"/>
        </w:rPr>
        <w:t xml:space="preserve">; and (ii) the audited balance sheet (including the notes thereto) of Seller Guarantor as of December 31 </w:t>
      </w:r>
      <w:r>
        <w:rPr>
          <w:rFonts w:cs="Arial"/>
        </w:rPr>
        <w:t>of the year specified in Exhibit A-1</w:t>
      </w:r>
      <w:r>
        <w:rPr>
          <w:rFonts w:cs="Arial"/>
          <w:szCs w:val="20"/>
        </w:rPr>
        <w:t>, and the related statements of operations and comprehensive income and statements of members’ equity and cash flows for the fiscal year period then ended (including the notes thereto) (collectively, “</w:t>
      </w:r>
      <w:r>
        <w:rPr>
          <w:rFonts w:cs="Arial"/>
          <w:b/>
          <w:bCs/>
          <w:szCs w:val="20"/>
        </w:rPr>
        <w:t>Seller Guarantor Financial Statements</w:t>
      </w:r>
      <w:r>
        <w:rPr>
          <w:rFonts w:cs="Arial"/>
          <w:szCs w:val="20"/>
        </w:rPr>
        <w:t xml:space="preserve">”). Except as set forth </w:t>
      </w:r>
      <w:r w:rsidR="00B87B9A">
        <w:rPr>
          <w:rFonts w:cs="Arial"/>
          <w:szCs w:val="20"/>
        </w:rPr>
        <w:t>in the Seller Guarantor Financial Statements</w:t>
      </w:r>
      <w:r>
        <w:rPr>
          <w:rFonts w:cs="Arial"/>
          <w:szCs w:val="20"/>
        </w:rPr>
        <w:t xml:space="preserve">, the Seller Guarantor Financial Statements present fairly, in all material respects, the financial position, statements of operations and comprehensive income, members’ equity, and cash flows of Seller Guarantor as of the respective dates thereof and for the applicable periods covered thereby. The Seller Guarantor Financial Statements have been derived from, and are consistent with, and accurately reflect in all material respects, the books and records of Seller Guarantor. Except as set forth </w:t>
      </w:r>
      <w:r w:rsidR="00C16006">
        <w:rPr>
          <w:rFonts w:cs="Arial"/>
          <w:szCs w:val="20"/>
        </w:rPr>
        <w:t>in the Seller Guarantor Financial Statements</w:t>
      </w:r>
      <w:r>
        <w:rPr>
          <w:rFonts w:cs="Arial"/>
          <w:szCs w:val="20"/>
        </w:rPr>
        <w:t>, and except, in the case of the unaudited financial statements, for normal year-end adjustments (none of which would reasonably be expected to be material to Seller Guarantor) and the absence of complete footnotes, the Seller Guarantor Financial Statements have been prepared in accordance with GAAP consistently applied throughout the applicable periods covered thereby.</w:t>
      </w:r>
    </w:p>
    <w:p w:rsidRPr="00C83DF3" w:rsidR="00B71AF7" w:rsidP="00B71AF7" w:rsidRDefault="00B71AF7" w14:paraId="51FDBBB9" w14:textId="77777777">
      <w:pPr>
        <w:pStyle w:val="zGTC02"/>
        <w:rPr>
          <w:rFonts w:ascii="Arial" w:hAnsi="Arial" w:cs="Arial"/>
        </w:rPr>
      </w:pPr>
      <w:bookmarkStart w:name="_Toc138350365" w:id="145"/>
      <w:bookmarkStart w:name="_Toc143607208" w:id="146"/>
      <w:bookmarkStart w:name="_Toc169777901" w:id="147"/>
      <w:bookmarkStart w:name="_Toc181639417" w:id="148"/>
      <w:bookmarkStart w:name="_Toc214644737" w:id="149"/>
      <w:r>
        <w:rPr>
          <w:rFonts w:ascii="Arial" w:hAnsi="Arial" w:cs="Arial"/>
        </w:rPr>
        <w:t>Insurance.</w:t>
      </w:r>
      <w:bookmarkEnd w:id="145"/>
      <w:bookmarkEnd w:id="146"/>
      <w:bookmarkEnd w:id="147"/>
      <w:bookmarkEnd w:id="148"/>
      <w:bookmarkEnd w:id="149"/>
    </w:p>
    <w:p w:rsidRPr="00C83DF3" w:rsidR="00B71AF7" w:rsidP="00B71AF7" w:rsidRDefault="00B71AF7" w14:paraId="0E17892B" w14:textId="4F28C27F">
      <w:pPr>
        <w:pStyle w:val="zGTC03"/>
        <w:rPr>
          <w:rFonts w:cs="Arial"/>
        </w:rPr>
      </w:pPr>
      <w:r>
        <w:rPr>
          <w:rFonts w:cs="Arial"/>
          <w:b/>
          <w:bCs/>
        </w:rPr>
        <w:t>Facility Insurance Policies.</w:t>
      </w:r>
      <w:r>
        <w:rPr>
          <w:rFonts w:cs="Arial"/>
        </w:rPr>
        <w:t xml:space="preserve"> Section 3.17.1 of the Seller Disclosure Schedule includes a true, complete, and correct list and description of </w:t>
      </w:r>
      <w:proofErr w:type="gramStart"/>
      <w:r>
        <w:rPr>
          <w:rFonts w:cs="Arial"/>
        </w:rPr>
        <w:t>all of</w:t>
      </w:r>
      <w:proofErr w:type="gramEnd"/>
      <w:r>
        <w:rPr>
          <w:rFonts w:cs="Arial"/>
        </w:rPr>
        <w:t xml:space="preserve"> the Facility Insurance Policies and identifies all non-transferable Facility Insurance Policies. Each Facility Insurance Policy is in full force and effect, all premiums for the Facility Insurance Policies have been paid, and Seller </w:t>
      </w:r>
      <w:proofErr w:type="gramStart"/>
      <w:r>
        <w:rPr>
          <w:rFonts w:cs="Arial"/>
        </w:rPr>
        <w:t>is in compliance</w:t>
      </w:r>
      <w:proofErr w:type="gramEnd"/>
      <w:r>
        <w:rPr>
          <w:rFonts w:cs="Arial"/>
        </w:rPr>
        <w:t xml:space="preserve"> in all material respects with the terms and provisions of each Facility Insurance Policy. No written notice of cancellation or termination has been received by Seller or any of its Affiliates regarding any Facility Insurance Policy that has not been replaced on substantially similar terms </w:t>
      </w:r>
      <w:r w:rsidR="0090318B">
        <w:rPr>
          <w:rFonts w:cs="Arial"/>
        </w:rPr>
        <w:t>before</w:t>
      </w:r>
      <w:r>
        <w:rPr>
          <w:rFonts w:cs="Arial"/>
        </w:rPr>
        <w:t xml:space="preserve"> the date of the cancellation or termination. The Facility Insurance Policies are sufficient for compliance in all material respects with all requirements of applicable </w:t>
      </w:r>
      <w:r>
        <w:t>law</w:t>
      </w:r>
      <w:r>
        <w:rPr>
          <w:rFonts w:cs="Arial"/>
        </w:rPr>
        <w:t xml:space="preserve"> and of all Facility Contracts.</w:t>
      </w:r>
    </w:p>
    <w:p w:rsidRPr="00C83DF3" w:rsidR="00B71AF7" w:rsidP="00B71AF7" w:rsidRDefault="000D2313" w14:paraId="37F5EBBF" w14:textId="3599498D">
      <w:pPr>
        <w:pStyle w:val="zGTC03"/>
        <w:rPr>
          <w:rFonts w:cs="Arial"/>
        </w:rPr>
      </w:pPr>
      <w:r>
        <w:rPr>
          <w:rFonts w:cs="Arial"/>
          <w:b/>
          <w:bCs/>
          <w:szCs w:val="20"/>
        </w:rPr>
        <w:t>Claims.</w:t>
      </w:r>
      <w:r>
        <w:rPr>
          <w:rFonts w:cs="Arial"/>
          <w:szCs w:val="20"/>
        </w:rPr>
        <w:t xml:space="preserve"> </w:t>
      </w:r>
      <w:bookmarkStart w:name="_Hlk181612044" w:id="150"/>
      <w:r>
        <w:rPr>
          <w:rFonts w:cs="Arial"/>
          <w:szCs w:val="20"/>
        </w:rPr>
        <w:t xml:space="preserve">As </w:t>
      </w:r>
      <w:proofErr w:type="gramStart"/>
      <w:r>
        <w:rPr>
          <w:rFonts w:cs="Arial"/>
          <w:szCs w:val="20"/>
        </w:rPr>
        <w:t>of</w:t>
      </w:r>
      <w:proofErr w:type="gramEnd"/>
      <w:r>
        <w:rPr>
          <w:rFonts w:cs="Arial"/>
          <w:szCs w:val="20"/>
        </w:rPr>
        <w:t xml:space="preserve"> the </w:t>
      </w:r>
      <w:r w:rsidR="00DB7F24">
        <w:rPr>
          <w:rFonts w:cs="Arial"/>
          <w:szCs w:val="20"/>
        </w:rPr>
        <w:t>Effective Date</w:t>
      </w:r>
      <w:r>
        <w:rPr>
          <w:rFonts w:cs="Arial"/>
          <w:szCs w:val="20"/>
        </w:rPr>
        <w:t>, no claims have been made under any Facility Insurance Policy. As of the Closing Date, subject to Seller’s update of the Seller Disclosure Schedule in accordance with Section 5.18 (</w:t>
      </w:r>
      <w:r>
        <w:rPr>
          <w:rFonts w:cs="Arial"/>
          <w:i/>
          <w:iCs/>
          <w:szCs w:val="20"/>
        </w:rPr>
        <w:t>Update of Seller Disclosure Schedule</w:t>
      </w:r>
      <w:r>
        <w:rPr>
          <w:rFonts w:cs="Arial"/>
          <w:szCs w:val="20"/>
        </w:rPr>
        <w:t>), there are no pending claims that have been made under any Facility Insurance Policy (or any replacement or renewal coverage obtained in accordance with Section 5.10 (</w:t>
      </w:r>
      <w:r>
        <w:rPr>
          <w:rFonts w:cs="Arial"/>
          <w:i/>
          <w:iCs/>
          <w:szCs w:val="20"/>
        </w:rPr>
        <w:t>Insurance</w:t>
      </w:r>
      <w:r>
        <w:rPr>
          <w:rFonts w:cs="Arial"/>
          <w:szCs w:val="20"/>
        </w:rPr>
        <w:t>)), and Seller has no Knowledge of any fact or circumstance that could reasonably lead to a claim</w:t>
      </w:r>
      <w:bookmarkEnd w:id="150"/>
      <w:r>
        <w:rPr>
          <w:rFonts w:cs="Arial"/>
          <w:szCs w:val="20"/>
        </w:rPr>
        <w:t>.</w:t>
      </w:r>
    </w:p>
    <w:p w:rsidRPr="00C83DF3" w:rsidR="00B71AF7" w:rsidP="00B71AF7" w:rsidRDefault="00B71AF7" w14:paraId="7061CFE8" w14:textId="77777777">
      <w:pPr>
        <w:pStyle w:val="zGTC03"/>
        <w:rPr>
          <w:rFonts w:cs="Arial"/>
        </w:rPr>
      </w:pPr>
      <w:r>
        <w:rPr>
          <w:rFonts w:cs="Arial"/>
          <w:b/>
          <w:bCs/>
          <w:szCs w:val="20"/>
        </w:rPr>
        <w:t>Refusal of Coverage or Reduction in Coverage.</w:t>
      </w:r>
      <w:r>
        <w:rPr>
          <w:rFonts w:cs="Arial"/>
          <w:szCs w:val="20"/>
        </w:rPr>
        <w:t xml:space="preserve"> Within the past six years, Seller has not been refused any material insurance concerning the Facility or the Facility Assets, nor has coverage been limited in any material respect by any insurance carrier to which Seller has applied for any insurance or with which it has carried insurance.</w:t>
      </w:r>
    </w:p>
    <w:p w:rsidRPr="00C83DF3" w:rsidR="00B71AF7" w:rsidP="00B71AF7" w:rsidRDefault="00B71AF7" w14:paraId="7371E918" w14:textId="77777777">
      <w:pPr>
        <w:pStyle w:val="zGTC02"/>
        <w:keepNext/>
        <w:keepLines/>
        <w:rPr>
          <w:rFonts w:ascii="Arial" w:hAnsi="Arial" w:cs="Arial"/>
          <w:vanish/>
          <w:specVanish/>
        </w:rPr>
      </w:pPr>
      <w:bookmarkStart w:name="_Toc138350366" w:id="151"/>
      <w:bookmarkStart w:name="_Toc143607209" w:id="152"/>
      <w:bookmarkStart w:name="_Toc169777902" w:id="153"/>
      <w:bookmarkStart w:name="_Toc181639418" w:id="154"/>
      <w:bookmarkStart w:name="_Toc214644738" w:id="155"/>
      <w:r>
        <w:rPr>
          <w:rFonts w:ascii="Arial" w:hAnsi="Arial" w:cs="Arial"/>
        </w:rPr>
        <w:lastRenderedPageBreak/>
        <w:t>Taxes.</w:t>
      </w:r>
      <w:bookmarkEnd w:id="151"/>
      <w:bookmarkEnd w:id="152"/>
      <w:bookmarkEnd w:id="153"/>
      <w:bookmarkEnd w:id="154"/>
      <w:bookmarkEnd w:id="155"/>
    </w:p>
    <w:p w:rsidRPr="00C83DF3" w:rsidR="00B71AF7" w:rsidP="00B71AF7" w:rsidRDefault="00B71AF7" w14:paraId="74083A9F" w14:textId="77777777">
      <w:pPr>
        <w:pStyle w:val="zGNormal"/>
        <w:keepNext/>
        <w:keepLines/>
        <w:spacing w:after="120"/>
        <w:rPr>
          <w:b/>
          <w:bCs/>
          <w:i/>
          <w:iCs/>
        </w:rPr>
      </w:pPr>
      <w:r>
        <w:t xml:space="preserve"> Except as set forth in Section 3.18 of the Seller Disclosure Schedule:</w:t>
      </w:r>
    </w:p>
    <w:p w:rsidRPr="00C83DF3" w:rsidR="00B71AF7" w:rsidP="00B71AF7" w:rsidRDefault="00B71AF7" w14:paraId="7ABDDE2B" w14:textId="77777777">
      <w:pPr>
        <w:pStyle w:val="zGTC04"/>
        <w:keepNext/>
        <w:keepLines/>
        <w:rPr>
          <w:rFonts w:cs="Arial"/>
        </w:rPr>
      </w:pPr>
      <w:r>
        <w:rPr>
          <w:rFonts w:cs="Arial"/>
        </w:rPr>
        <w:t xml:space="preserve">There is no audit, claim, assessment, levy, administrative or judicial proceeding, or other Action currently pending or, to the Knowledge of Seller, threatened, proposed, or contemplated against Seller or with respect to the Facility by any Governmental Authority for the assessment or collection of Taxes. There are no agreements, waivers, or </w:t>
      </w:r>
      <w:proofErr w:type="gramStart"/>
      <w:r>
        <w:rPr>
          <w:rFonts w:cs="Arial"/>
        </w:rPr>
        <w:t>consents</w:t>
      </w:r>
      <w:proofErr w:type="gramEnd"/>
      <w:r>
        <w:rPr>
          <w:rFonts w:cs="Arial"/>
        </w:rPr>
        <w:t xml:space="preserve"> currently in effect extending the statutory period of limitations applicable to any Tax of Seller or with respect to the </w:t>
      </w:r>
      <w:proofErr w:type="gramStart"/>
      <w:r>
        <w:rPr>
          <w:rFonts w:cs="Arial"/>
        </w:rPr>
        <w:t>Facility;</w:t>
      </w:r>
      <w:proofErr w:type="gramEnd"/>
    </w:p>
    <w:p w:rsidRPr="00C83DF3" w:rsidR="00B71AF7" w:rsidP="00B71AF7" w:rsidRDefault="00B71AF7" w14:paraId="610113ED" w14:textId="77777777">
      <w:pPr>
        <w:pStyle w:val="zGTC04"/>
        <w:rPr>
          <w:rFonts w:cs="Arial"/>
        </w:rPr>
      </w:pPr>
      <w:r>
        <w:rPr>
          <w:rFonts w:cs="Arial"/>
        </w:rPr>
        <w:t xml:space="preserve">All Tax Returns that were required to be filed by Seller concerning the Facility have been timely filed, and the Tax Returns were prepared in compliance with applicable </w:t>
      </w:r>
      <w:r>
        <w:t>law</w:t>
      </w:r>
      <w:r>
        <w:rPr>
          <w:rFonts w:cs="Arial"/>
        </w:rPr>
        <w:t xml:space="preserve"> and were true, correct, and complete. All Taxes required to be paid by the Seller concerning the Facility (</w:t>
      </w:r>
      <w:proofErr w:type="gramStart"/>
      <w:r>
        <w:rPr>
          <w:rFonts w:cs="Arial"/>
        </w:rPr>
        <w:t>whether or not</w:t>
      </w:r>
      <w:proofErr w:type="gramEnd"/>
      <w:r>
        <w:rPr>
          <w:rFonts w:cs="Arial"/>
        </w:rPr>
        <w:t xml:space="preserve"> shown on any Tax Returns) have been timely paid. True, correct, and complete copies of all Tax Returns, over the past seven years preceding the Effective </w:t>
      </w:r>
      <w:proofErr w:type="gramStart"/>
      <w:r>
        <w:rPr>
          <w:rFonts w:cs="Arial"/>
        </w:rPr>
        <w:t>Date,</w:t>
      </w:r>
      <w:proofErr w:type="gramEnd"/>
      <w:r>
        <w:rPr>
          <w:rFonts w:cs="Arial"/>
        </w:rPr>
        <w:t xml:space="preserve"> required to be filed by Seller concerning the Facility have been made available to </w:t>
      </w:r>
      <w:proofErr w:type="gramStart"/>
      <w:r>
        <w:rPr>
          <w:rFonts w:cs="Arial"/>
        </w:rPr>
        <w:t>GPC;</w:t>
      </w:r>
      <w:proofErr w:type="gramEnd"/>
    </w:p>
    <w:p w:rsidRPr="00C83DF3" w:rsidR="00B71AF7" w:rsidP="00B71AF7" w:rsidRDefault="00B71AF7" w14:paraId="01665221" w14:textId="77777777">
      <w:pPr>
        <w:pStyle w:val="zGTC04"/>
        <w:rPr>
          <w:rFonts w:cs="Arial"/>
        </w:rPr>
      </w:pPr>
      <w:r>
        <w:rPr>
          <w:rFonts w:cs="Arial"/>
        </w:rPr>
        <w:t xml:space="preserve">Seller has withheld and paid all Taxes required to have been withheld and paid: (a) in connection with amounts paid or owing to any employee, independent contractor, creditor, member, stockholder, or other third party; or (b) with respect to the </w:t>
      </w:r>
      <w:proofErr w:type="gramStart"/>
      <w:r>
        <w:rPr>
          <w:rFonts w:cs="Arial"/>
        </w:rPr>
        <w:t>Facility;</w:t>
      </w:r>
      <w:proofErr w:type="gramEnd"/>
    </w:p>
    <w:p w:rsidRPr="00C83DF3" w:rsidR="00B71AF7" w:rsidP="00B71AF7" w:rsidRDefault="00B71AF7" w14:paraId="4D696619" w14:textId="77777777">
      <w:pPr>
        <w:pStyle w:val="zGTC04"/>
        <w:rPr>
          <w:rFonts w:cs="Arial"/>
        </w:rPr>
      </w:pPr>
      <w:r>
        <w:rPr>
          <w:rFonts w:cs="Arial"/>
        </w:rPr>
        <w:t xml:space="preserve">There are no Liens for Taxes on any assets or property of Seller, the Facility, or the Facility Assets, other than Liens for Taxes not yet due and </w:t>
      </w:r>
      <w:proofErr w:type="gramStart"/>
      <w:r>
        <w:rPr>
          <w:rFonts w:cs="Arial"/>
        </w:rPr>
        <w:t>payable;</w:t>
      </w:r>
      <w:proofErr w:type="gramEnd"/>
    </w:p>
    <w:p w:rsidRPr="00C83DF3" w:rsidR="00B71AF7" w:rsidP="00B71AF7" w:rsidRDefault="00B71AF7" w14:paraId="5F7EAA11" w14:textId="77777777">
      <w:pPr>
        <w:pStyle w:val="zGTC04"/>
        <w:rPr>
          <w:rFonts w:cs="Arial"/>
        </w:rPr>
      </w:pPr>
      <w:r>
        <w:rPr>
          <w:rFonts w:cs="Arial"/>
        </w:rPr>
        <w:t>Seller is not a party to, and does not have any Liability under, any Tax sharing, indemnification or similar agreement (in each case, other than an agreement entered into in the ordinary course of business of the parties thereto, the principal purpose of which is not Tax-related, such as a customary lease, license, or financing agreement);</w:t>
      </w:r>
    </w:p>
    <w:p w:rsidRPr="00C83DF3" w:rsidR="00B71AF7" w:rsidP="00B71AF7" w:rsidRDefault="00B71AF7" w14:paraId="194F4371" w14:textId="77777777">
      <w:pPr>
        <w:pStyle w:val="zGTC04"/>
        <w:rPr>
          <w:rFonts w:cs="Arial"/>
        </w:rPr>
      </w:pPr>
      <w:r>
        <w:rPr>
          <w:rFonts w:cs="Arial"/>
        </w:rPr>
        <w:t xml:space="preserve">Seller is not a “tax-exempt person” within the meaning of Code §168(h) </w:t>
      </w:r>
      <w:proofErr w:type="gramStart"/>
      <w:r>
        <w:rPr>
          <w:rFonts w:cs="Arial"/>
        </w:rPr>
        <w:t>as a result of</w:t>
      </w:r>
      <w:proofErr w:type="gramEnd"/>
      <w:r>
        <w:rPr>
          <w:rFonts w:cs="Arial"/>
        </w:rPr>
        <w:t xml:space="preserve"> ownership in </w:t>
      </w:r>
      <w:proofErr w:type="gramStart"/>
      <w:r>
        <w:rPr>
          <w:rFonts w:cs="Arial"/>
        </w:rPr>
        <w:t>Seller by Seller</w:t>
      </w:r>
      <w:proofErr w:type="gramEnd"/>
      <w:r>
        <w:rPr>
          <w:rFonts w:cs="Arial"/>
        </w:rPr>
        <w:t xml:space="preserve"> Guarantor or any Affiliate thereof;</w:t>
      </w:r>
      <w:r>
        <w:rPr>
          <w:rFonts w:cs="Arial"/>
        </w:rPr>
        <w:t> </w:t>
      </w:r>
    </w:p>
    <w:p w:rsidRPr="00C83DF3" w:rsidR="00B71AF7" w:rsidP="00B71AF7" w:rsidRDefault="00B71AF7" w14:paraId="10DB03CB" w14:textId="77777777">
      <w:pPr>
        <w:pStyle w:val="zGTC04"/>
        <w:rPr>
          <w:rFonts w:cs="Arial"/>
        </w:rPr>
      </w:pPr>
      <w:r>
        <w:rPr>
          <w:rFonts w:cs="Arial"/>
        </w:rPr>
        <w:t xml:space="preserve">Seller: (a) has not been a member of an affiliated group filing a consolidated federal income Tax Return; and (b) does not have any Liability for the Taxes of any other Person under Treasury Regulation Section 1.1502-6, or any similar provision of state, local, or foreign </w:t>
      </w:r>
      <w:proofErr w:type="gramStart"/>
      <w:r>
        <w:t>law</w:t>
      </w:r>
      <w:r>
        <w:rPr>
          <w:rFonts w:cs="Arial"/>
        </w:rPr>
        <w:t>;</w:t>
      </w:r>
      <w:proofErr w:type="gramEnd"/>
    </w:p>
    <w:p w:rsidRPr="00C83DF3" w:rsidR="00B71AF7" w:rsidP="00B71AF7" w:rsidRDefault="00B71AF7" w14:paraId="3D2D4FFF" w14:textId="77777777">
      <w:pPr>
        <w:pStyle w:val="zGTC04"/>
        <w:rPr>
          <w:rFonts w:cs="Arial"/>
        </w:rPr>
      </w:pPr>
      <w:r>
        <w:rPr>
          <w:rFonts w:cs="Arial"/>
        </w:rPr>
        <w:t xml:space="preserve">Seller (or, if Seller is a disregarded entity for U.S. federal income tax purposes, its owner for U.S. federal income tax purposes) is a “United States person” within the meaning of Section 7701(a)(30) of the </w:t>
      </w:r>
      <w:proofErr w:type="gramStart"/>
      <w:r>
        <w:rPr>
          <w:rFonts w:cs="Arial"/>
        </w:rPr>
        <w:t>Code;</w:t>
      </w:r>
      <w:proofErr w:type="gramEnd"/>
      <w:r>
        <w:rPr>
          <w:rFonts w:cs="Arial"/>
        </w:rPr>
        <w:t xml:space="preserve"> </w:t>
      </w:r>
    </w:p>
    <w:p w:rsidRPr="00C83DF3" w:rsidR="00B71AF7" w:rsidP="00B71AF7" w:rsidRDefault="00B71AF7" w14:paraId="0E62CDE5" w14:textId="77777777">
      <w:pPr>
        <w:pStyle w:val="zGTC04"/>
        <w:rPr>
          <w:rFonts w:cs="Arial"/>
        </w:rPr>
      </w:pPr>
      <w:r>
        <w:rPr>
          <w:rFonts w:cs="Arial"/>
        </w:rPr>
        <w:t xml:space="preserve">No portion of the tax basis of any Facility Assets acquired pursuant to this APA is or will be attributable to “qualified rehabilitation expenditures” within the meaning of Section 47(c)(2)(A) of the </w:t>
      </w:r>
      <w:proofErr w:type="gramStart"/>
      <w:r>
        <w:rPr>
          <w:rFonts w:cs="Arial"/>
        </w:rPr>
        <w:t>Code;</w:t>
      </w:r>
      <w:proofErr w:type="gramEnd"/>
    </w:p>
    <w:p w:rsidRPr="00C83DF3" w:rsidR="00B71AF7" w:rsidP="00B71AF7" w:rsidRDefault="00B71AF7" w14:paraId="7F817F03" w14:textId="77777777">
      <w:pPr>
        <w:pStyle w:val="zGTC04"/>
        <w:rPr>
          <w:rFonts w:cs="Arial"/>
        </w:rPr>
      </w:pPr>
      <w:r>
        <w:rPr>
          <w:rFonts w:cs="Arial"/>
        </w:rPr>
        <w:t xml:space="preserve">No election has been filed pursuant to Treasury Regulation Section 301.7701-3(c) with respect to Seller. Seller is, and has </w:t>
      </w:r>
      <w:proofErr w:type="gramStart"/>
      <w:r>
        <w:rPr>
          <w:rFonts w:cs="Arial"/>
        </w:rPr>
        <w:t>been at all times</w:t>
      </w:r>
      <w:proofErr w:type="gramEnd"/>
      <w:r>
        <w:rPr>
          <w:rFonts w:cs="Arial"/>
        </w:rPr>
        <w:t xml:space="preserve"> since its formation, disregarded as an entity separate from its owner for federal income tax purposes; and</w:t>
      </w:r>
    </w:p>
    <w:p w:rsidRPr="00C83DF3" w:rsidR="00B71AF7" w:rsidP="00B71AF7" w:rsidRDefault="00B71AF7" w14:paraId="25F29878" w14:textId="77777777">
      <w:pPr>
        <w:pStyle w:val="zGTC04"/>
        <w:rPr>
          <w:rFonts w:cs="Arial"/>
        </w:rPr>
      </w:pPr>
      <w:r>
        <w:rPr>
          <w:rFonts w:cs="Arial"/>
        </w:rPr>
        <w:t>No power of attorney is currently in effect, and no Tax ruling has been requested of any Governmental Authority with respect to any Tax matter relating to the Facility.</w:t>
      </w:r>
    </w:p>
    <w:p w:rsidRPr="00C83DF3" w:rsidR="00B71AF7" w:rsidP="00B71AF7" w:rsidRDefault="00B71AF7" w14:paraId="66CFE92A" w14:textId="77777777">
      <w:pPr>
        <w:pStyle w:val="zGTC02"/>
        <w:rPr>
          <w:rFonts w:ascii="Arial" w:hAnsi="Arial" w:cs="Arial"/>
        </w:rPr>
      </w:pPr>
      <w:bookmarkStart w:name="_Toc143607210" w:id="156"/>
      <w:bookmarkStart w:name="_Toc169777903" w:id="157"/>
      <w:bookmarkStart w:name="_Toc181639419" w:id="158"/>
      <w:bookmarkStart w:name="_Toc214644739" w:id="159"/>
      <w:bookmarkStart w:name="_Toc138350367" w:id="160"/>
      <w:r>
        <w:rPr>
          <w:rFonts w:ascii="Arial" w:hAnsi="Arial" w:cs="Arial"/>
        </w:rPr>
        <w:t>Tax Benefits.</w:t>
      </w:r>
      <w:bookmarkEnd w:id="156"/>
      <w:bookmarkEnd w:id="157"/>
      <w:bookmarkEnd w:id="158"/>
      <w:bookmarkEnd w:id="159"/>
    </w:p>
    <w:p w:rsidRPr="00C83DF3" w:rsidR="00B71AF7" w:rsidP="00B71AF7" w:rsidRDefault="00B71AF7" w14:paraId="5130EB97" w14:textId="77777777">
      <w:pPr>
        <w:pStyle w:val="zGTC04"/>
        <w:rPr>
          <w:rFonts w:cs="Arial"/>
        </w:rPr>
      </w:pPr>
      <w:r>
        <w:rPr>
          <w:rFonts w:cs="Arial"/>
        </w:rPr>
        <w:t xml:space="preserve">To Seller’s Knowledge, no fact or circumstance concerning the Facility or the Facility Assets exists that would reasonably be expected to hinder, impair, restrict, limit, preclude, or disqualify </w:t>
      </w:r>
      <w:proofErr w:type="gramStart"/>
      <w:r>
        <w:rPr>
          <w:rFonts w:cs="Arial"/>
        </w:rPr>
        <w:t>the Facility or the</w:t>
      </w:r>
      <w:proofErr w:type="gramEnd"/>
      <w:r>
        <w:rPr>
          <w:rFonts w:cs="Arial"/>
        </w:rPr>
        <w:t xml:space="preserve"> Facility Assets from qualifying for, and producing and giving rise to, the Tax </w:t>
      </w:r>
      <w:proofErr w:type="gramStart"/>
      <w:r>
        <w:rPr>
          <w:rFonts w:cs="Arial"/>
        </w:rPr>
        <w:t>Benefits;</w:t>
      </w:r>
      <w:proofErr w:type="gramEnd"/>
    </w:p>
    <w:p w:rsidRPr="00C83DF3" w:rsidR="00B71AF7" w:rsidP="00B71AF7" w:rsidRDefault="00B71AF7" w14:paraId="5CCAD8F2" w14:textId="77777777">
      <w:pPr>
        <w:pStyle w:val="zGTC04"/>
        <w:rPr>
          <w:rFonts w:cs="Arial"/>
        </w:rPr>
      </w:pPr>
      <w:r>
        <w:rPr>
          <w:rFonts w:cs="Arial"/>
        </w:rPr>
        <w:t xml:space="preserve">There has been no “original use” (within the meaning of Sections 45 and 48 or Section 168(k) of the Code) of the Facility Assets, the Facility, or any property that is part of the Facility. No property that is a part of the Facility Assets or the Facility has been used by any Person other than in the development, construction, or startup of the </w:t>
      </w:r>
      <w:proofErr w:type="gramStart"/>
      <w:r>
        <w:rPr>
          <w:rFonts w:cs="Arial"/>
        </w:rPr>
        <w:t>Facility;</w:t>
      </w:r>
      <w:proofErr w:type="gramEnd"/>
    </w:p>
    <w:p w:rsidRPr="00C83DF3" w:rsidR="00B71AF7" w:rsidP="00B71AF7" w:rsidRDefault="00B71AF7" w14:paraId="6CF194A0" w14:textId="77777777">
      <w:pPr>
        <w:pStyle w:val="zGTC04"/>
        <w:rPr>
          <w:rFonts w:cs="Arial"/>
        </w:rPr>
      </w:pPr>
      <w:r>
        <w:rPr>
          <w:rFonts w:cs="Arial"/>
        </w:rPr>
        <w:t>Neither Seller nor any Seller Affiliate has claimed or intends to claim any depreciation deduction, amortization deduction, tax credit (including the [PTC/ITC]), or other credit, deduction, or allowance with respect to the Facility or any property that is part of the Facility or the Facility Assets. No property in the Facility or the Facility Assets is “dual use equipment” within the meaning of Treasury Regulations Section 1.48-9(d)(6</w:t>
      </w:r>
      <w:proofErr w:type="gramStart"/>
      <w:r>
        <w:rPr>
          <w:rFonts w:cs="Arial"/>
        </w:rPr>
        <w:t>);</w:t>
      </w:r>
      <w:proofErr w:type="gramEnd"/>
    </w:p>
    <w:p w:rsidRPr="00C83DF3" w:rsidR="00B71AF7" w:rsidP="00B71AF7" w:rsidRDefault="00B71AF7" w14:paraId="0ADFC0BB" w14:textId="77777777">
      <w:pPr>
        <w:pStyle w:val="zGTC04"/>
        <w:rPr>
          <w:rFonts w:cs="Arial"/>
        </w:rPr>
      </w:pPr>
      <w:r>
        <w:rPr>
          <w:rFonts w:cs="Arial"/>
        </w:rPr>
        <w:lastRenderedPageBreak/>
        <w:t xml:space="preserve">No portion of the basis of the property in the Facility is attributable to “qualified rehabilitation expenditures” within the meaning of Section 47(c)(2)(A) of the </w:t>
      </w:r>
      <w:proofErr w:type="gramStart"/>
      <w:r>
        <w:rPr>
          <w:rFonts w:cs="Arial"/>
        </w:rPr>
        <w:t>Code;</w:t>
      </w:r>
      <w:proofErr w:type="gramEnd"/>
    </w:p>
    <w:p w:rsidRPr="00C83DF3" w:rsidR="00B71AF7" w:rsidP="00B71AF7" w:rsidRDefault="00B71AF7" w14:paraId="44F16A20" w14:textId="77777777">
      <w:pPr>
        <w:pStyle w:val="zGTC04"/>
        <w:rPr>
          <w:rFonts w:cs="Arial"/>
        </w:rPr>
      </w:pPr>
      <w:r>
        <w:rPr>
          <w:rFonts w:cs="Arial"/>
        </w:rPr>
        <w:t xml:space="preserve">No portion of any property that is part of the Facility or the Facility Assets has benefited from the proceeds, to the extent applicable, of any grant or rebate program that would cause a reduction in the amount of the PTC/ITC regarding the Facility or the Facility Assets, and no application with respect to any grant or rebate has been filed or submitted. No portion of the Facility Real Property is currently enrolled in the U.S. Department of Agriculture’s Conservation Reserve </w:t>
      </w:r>
      <w:proofErr w:type="gramStart"/>
      <w:r>
        <w:rPr>
          <w:rFonts w:cs="Arial"/>
        </w:rPr>
        <w:t>Program;</w:t>
      </w:r>
      <w:proofErr w:type="gramEnd"/>
    </w:p>
    <w:p w:rsidRPr="00C83DF3" w:rsidR="00B71AF7" w:rsidP="00B71AF7" w:rsidRDefault="00B71AF7" w14:paraId="7C811D32" w14:textId="77777777">
      <w:pPr>
        <w:pStyle w:val="zGTC04"/>
        <w:rPr>
          <w:rFonts w:cs="Arial"/>
        </w:rPr>
      </w:pPr>
      <w:r>
        <w:rPr>
          <w:rFonts w:cs="Arial"/>
        </w:rPr>
        <w:t xml:space="preserve">None of the property in the Facility, including the Facility Assets, is or has been: (i) “tax-exempt bond financed property” or “tax-exempt use property” within the meaning of Section 168 of the Code; (ii) imported property of the kind described in Section 168(g)(6) of the Code; (iii) property used by a Person described in Section 50(b)(3) of the Code; (iv) “public utility property” within the meaning of Section 168(i)(10) of the Code; or (v) financed by tax-exempt bonds as described in Code Section 48(a)(4). No election under Section 168(g)(7) of the Code has been made with respect to any part of the Facility, including the Facility </w:t>
      </w:r>
      <w:proofErr w:type="gramStart"/>
      <w:r>
        <w:rPr>
          <w:rFonts w:cs="Arial"/>
        </w:rPr>
        <w:t>Assets;</w:t>
      </w:r>
      <w:proofErr w:type="gramEnd"/>
    </w:p>
    <w:p w:rsidRPr="00C83DF3" w:rsidR="00B71AF7" w:rsidP="00B71AF7" w:rsidRDefault="00B71AF7" w14:paraId="004A03A0" w14:textId="77777777">
      <w:pPr>
        <w:pStyle w:val="zGTC04"/>
        <w:rPr>
          <w:rFonts w:cs="Arial"/>
        </w:rPr>
      </w:pPr>
      <w:r>
        <w:rPr>
          <w:rFonts w:cs="Arial"/>
        </w:rPr>
        <w:t xml:space="preserve">The Facility is located entirely within the United </w:t>
      </w:r>
      <w:proofErr w:type="gramStart"/>
      <w:r>
        <w:rPr>
          <w:rFonts w:cs="Arial"/>
        </w:rPr>
        <w:t>States;</w:t>
      </w:r>
      <w:proofErr w:type="gramEnd"/>
    </w:p>
    <w:p w:rsidRPr="00C83DF3" w:rsidR="00B71AF7" w:rsidP="00B71AF7" w:rsidRDefault="00B71AF7" w14:paraId="3279B95D" w14:textId="77777777">
      <w:pPr>
        <w:pStyle w:val="zGTC04"/>
        <w:rPr>
          <w:rFonts w:cs="Arial"/>
        </w:rPr>
      </w:pPr>
      <w:r>
        <w:rPr>
          <w:rFonts w:cs="Arial"/>
        </w:rPr>
        <w:t xml:space="preserve"> The transactions contemplated by this APA will not have an adverse effect on the continuing validity and effectiveness of any Tax exemption, Tax holiday, other Tax abatement, or incentives for which the Facility is currently </w:t>
      </w:r>
      <w:proofErr w:type="gramStart"/>
      <w:r>
        <w:rPr>
          <w:rFonts w:cs="Arial"/>
        </w:rPr>
        <w:t>eligible;</w:t>
      </w:r>
      <w:proofErr w:type="gramEnd"/>
    </w:p>
    <w:p w:rsidRPr="00C83DF3" w:rsidR="00B71AF7" w:rsidP="00B71AF7" w:rsidRDefault="00B71AF7" w14:paraId="02C8ED06" w14:textId="77777777">
      <w:pPr>
        <w:pStyle w:val="zGTC04"/>
        <w:rPr>
          <w:rFonts w:cs="Arial"/>
        </w:rPr>
      </w:pPr>
      <w:r>
        <w:rPr>
          <w:rFonts w:cs="Arial"/>
        </w:rPr>
        <w:t>The Facility Real Property has not been subject to a preferential or special property Tax assessment, value limitation, or other favored Tax treatment. The Facility Property is not, has not been, and will not be (</w:t>
      </w:r>
      <w:proofErr w:type="gramStart"/>
      <w:r>
        <w:rPr>
          <w:rFonts w:cs="Arial"/>
        </w:rPr>
        <w:t>as a result of</w:t>
      </w:r>
      <w:proofErr w:type="gramEnd"/>
      <w:r>
        <w:rPr>
          <w:rFonts w:cs="Arial"/>
        </w:rPr>
        <w:t xml:space="preserve"> the Closing and the transactions contemplated by this APA) subject to </w:t>
      </w:r>
      <w:proofErr w:type="spellStart"/>
      <w:r>
        <w:rPr>
          <w:rFonts w:cs="Arial"/>
        </w:rPr>
        <w:t>rollback</w:t>
      </w:r>
      <w:proofErr w:type="spellEnd"/>
      <w:r>
        <w:rPr>
          <w:rFonts w:cs="Arial"/>
        </w:rPr>
        <w:t xml:space="preserve"> </w:t>
      </w:r>
      <w:proofErr w:type="gramStart"/>
      <w:r>
        <w:rPr>
          <w:rFonts w:cs="Arial"/>
        </w:rPr>
        <w:t>Taxes;</w:t>
      </w:r>
      <w:proofErr w:type="gramEnd"/>
    </w:p>
    <w:p w:rsidRPr="00C83DF3" w:rsidR="00B71AF7" w:rsidP="00B71AF7" w:rsidRDefault="00B71AF7" w14:paraId="71399E92" w14:textId="77777777">
      <w:pPr>
        <w:pStyle w:val="zGTC04"/>
        <w:rPr>
          <w:rFonts w:cs="Arial"/>
        </w:rPr>
      </w:pPr>
      <w:r>
        <w:rPr>
          <w:rFonts w:cs="Arial"/>
        </w:rPr>
        <w:t xml:space="preserve">All Tax Benefits </w:t>
      </w:r>
      <w:proofErr w:type="gramStart"/>
      <w:r>
        <w:rPr>
          <w:rFonts w:cs="Arial"/>
        </w:rPr>
        <w:t>attributable</w:t>
      </w:r>
      <w:proofErr w:type="gramEnd"/>
      <w:r>
        <w:rPr>
          <w:rFonts w:cs="Arial"/>
        </w:rPr>
        <w:t xml:space="preserve"> to, resulting from, or arising in connection with, the Facility will belong to GPC. Seller has no legal obligation, absolute or contingent, to any Person other than GPC to transfer or effect a transfer of all or any portion of the Facility, including any electric power or Tax Benefits attributable to, resulting from, or arising in connection with the </w:t>
      </w:r>
      <w:proofErr w:type="gramStart"/>
      <w:r>
        <w:rPr>
          <w:rFonts w:cs="Arial"/>
        </w:rPr>
        <w:t>Facility;</w:t>
      </w:r>
      <w:proofErr w:type="gramEnd"/>
    </w:p>
    <w:p w:rsidRPr="00C83DF3" w:rsidR="00B71AF7" w:rsidP="00B71AF7" w:rsidRDefault="00B71AF7" w14:paraId="4A854B5D" w14:textId="77777777">
      <w:pPr>
        <w:pStyle w:val="zGTC04"/>
        <w:rPr>
          <w:rFonts w:cs="Arial"/>
        </w:rPr>
      </w:pPr>
      <w:r>
        <w:rPr>
          <w:rFonts w:cs="Arial"/>
        </w:rPr>
        <w:t>Seller and any contractors or subcontractors providing services or goods directly or indirectly to Seller for the Facility have (a) complied with the PWA Requirements concerning the construction of the Facility; or (b) if applicable have made the payments described in Sections 7.8(i) and 7.8(ii) (</w:t>
      </w:r>
      <w:r>
        <w:rPr>
          <w:rFonts w:cs="Arial"/>
          <w:i/>
          <w:iCs/>
        </w:rPr>
        <w:t>Prevailing Wage and Apprenticeship</w:t>
      </w:r>
      <w:r>
        <w:rPr>
          <w:rFonts w:cs="Arial"/>
        </w:rPr>
        <w:t>) (“</w:t>
      </w:r>
      <w:r>
        <w:rPr>
          <w:rFonts w:cs="Arial"/>
          <w:b/>
          <w:bCs/>
        </w:rPr>
        <w:t>Deemed PWA Compliance</w:t>
      </w:r>
      <w:r>
        <w:rPr>
          <w:rFonts w:cs="Arial"/>
        </w:rPr>
        <w:t>”) and have provided documentation demonstrating to GPC’s reasonable satisfaction the payment of the amounts described in Sections 7.8(i) and 7.8(ii) (</w:t>
      </w:r>
      <w:r>
        <w:rPr>
          <w:rFonts w:cs="Arial"/>
          <w:i/>
          <w:iCs/>
        </w:rPr>
        <w:t>Prevailing Wage and Apprenticeship</w:t>
      </w:r>
      <w:r>
        <w:rPr>
          <w:rFonts w:cs="Arial"/>
        </w:rPr>
        <w:t>). If Seller or its contractors or subcontractors intend to rely on the provisions of Section 48(a)(8)(D)(ii) of the Code (“</w:t>
      </w:r>
      <w:r>
        <w:rPr>
          <w:rFonts w:cs="Arial"/>
          <w:b/>
          <w:bCs/>
        </w:rPr>
        <w:t>Good Faith Effort</w:t>
      </w:r>
      <w:r>
        <w:rPr>
          <w:rFonts w:cs="Arial"/>
        </w:rPr>
        <w:t>”) for satisfying the Apprenticeship Requirements, that Person will be considered to have satisfied the requirements of this Section 3.19(xi) (</w:t>
      </w:r>
      <w:r>
        <w:rPr>
          <w:rFonts w:cs="Arial"/>
          <w:i/>
          <w:iCs/>
        </w:rPr>
        <w:t>Tax Benefits</w:t>
      </w:r>
      <w:r>
        <w:rPr>
          <w:rFonts w:cs="Arial"/>
        </w:rPr>
        <w:t>) if the Person provides written documentation demonstrating to GPC’s reasonable satisfaction that: (i) it requested Qualified Apprentices from a Registered Apprenticeship Program; and (ii) either (a) the request was denied for reasons other than the failure of the Person to comply with the established standards and requirements of the Registered Apprenticeship Program; or (b) the Registered Apprenticeship Program failed to respond to the request within five Business Days;</w:t>
      </w:r>
    </w:p>
    <w:p w:rsidRPr="00C83DF3" w:rsidR="00B71AF7" w:rsidP="00B71AF7" w:rsidRDefault="00B71AF7" w14:paraId="76A91728" w14:textId="77777777">
      <w:pPr>
        <w:pStyle w:val="zGTC04"/>
        <w:rPr>
          <w:rFonts w:cs="Arial"/>
        </w:rPr>
      </w:pPr>
      <w:r>
        <w:rPr>
          <w:rFonts w:cs="Arial"/>
        </w:rPr>
        <w:t>On its federal income tax return for the taxable year in which the Facility was Placed in Service, Seller elected the PTC with respect to the Facility and Seller did not elect the ITC with respect to the Facility; and</w:t>
      </w:r>
    </w:p>
    <w:p w:rsidRPr="00C83DF3" w:rsidR="00B71AF7" w:rsidP="00B71AF7" w:rsidRDefault="00B71AF7" w14:paraId="4FEA5AB5" w14:textId="77777777">
      <w:pPr>
        <w:pStyle w:val="zGTC04"/>
        <w:rPr>
          <w:rFonts w:cs="Arial"/>
        </w:rPr>
      </w:pPr>
      <w:r>
        <w:rPr>
          <w:rFonts w:cs="Arial"/>
        </w:rPr>
        <w:t>The Facility was originally Placed in Service on the date specified in Exhibit A-1 (</w:t>
      </w:r>
      <w:r>
        <w:rPr>
          <w:rFonts w:cs="Arial"/>
          <w:i/>
          <w:iCs/>
        </w:rPr>
        <w:t>Facility Information and Additional Details</w:t>
      </w:r>
      <w:r>
        <w:rPr>
          <w:rFonts w:cs="Arial"/>
        </w:rPr>
        <w:t>).</w:t>
      </w:r>
    </w:p>
    <w:p w:rsidRPr="00C83DF3" w:rsidR="00B71AF7" w:rsidP="00B71AF7" w:rsidRDefault="00B71AF7" w14:paraId="6CA6B149" w14:textId="77777777">
      <w:pPr>
        <w:pStyle w:val="zGTC02"/>
        <w:rPr>
          <w:rFonts w:ascii="Arial" w:hAnsi="Arial" w:cs="Arial"/>
          <w:vanish/>
          <w:specVanish/>
        </w:rPr>
      </w:pPr>
      <w:bookmarkStart w:name="_Toc143607211" w:id="161"/>
      <w:bookmarkStart w:name="_Toc169777904" w:id="162"/>
      <w:bookmarkStart w:name="_Toc181639420" w:id="163"/>
      <w:bookmarkStart w:name="_Toc214644740" w:id="164"/>
      <w:r>
        <w:rPr>
          <w:rFonts w:ascii="Arial" w:hAnsi="Arial" w:cs="Arial"/>
        </w:rPr>
        <w:t>Intellectual Property.</w:t>
      </w:r>
      <w:bookmarkEnd w:id="160"/>
      <w:bookmarkEnd w:id="161"/>
      <w:bookmarkEnd w:id="162"/>
      <w:bookmarkEnd w:id="163"/>
      <w:bookmarkEnd w:id="164"/>
    </w:p>
    <w:p w:rsidRPr="00C83DF3" w:rsidR="00B71AF7" w:rsidP="00B71AF7" w:rsidRDefault="00B71AF7" w14:paraId="51EC2E10" w14:textId="1EC00B28">
      <w:pPr>
        <w:pStyle w:val="zGNormal"/>
        <w:spacing w:after="120"/>
      </w:pPr>
      <w:r>
        <w:t xml:space="preserve"> Section 3.20 of the Seller Disclosure Schedule includes a true, correct, and complete list and description of </w:t>
      </w:r>
      <w:proofErr w:type="gramStart"/>
      <w:r>
        <w:t>all of</w:t>
      </w:r>
      <w:proofErr w:type="gramEnd"/>
      <w:r>
        <w:t xml:space="preserve"> the Facility Intellectual Property. Seller owns or has the right to use all the Facility Intellectual Property used or held for use in connection with the ownership, operation, maintenance, repair, and use of the Facility and the Facility Assets, free of all Liens, other than Permitted Liens and restrictions applicable in Facility Contracts. Other than </w:t>
      </w:r>
      <w:proofErr w:type="gramStart"/>
      <w:r>
        <w:t>the Facility</w:t>
      </w:r>
      <w:proofErr w:type="gramEnd"/>
      <w:r>
        <w:t xml:space="preserve"> Intellectual Property, no Intellectual Property is necessary for the ownership, operation, maintenance, repair, or use of the Facility or the Facility Assets as currently conducted. Except as set forth in Section 3.20 of the Seller Disclosure Schedule: (i) no Facility Intellectual Property owned by Seller has been licensed to any third party; (ii) the conduct of the businesses of Seller (including the ownership, </w:t>
      </w:r>
      <w:r>
        <w:lastRenderedPageBreak/>
        <w:t xml:space="preserve">operation, maintenance, repair, and use of the Facility and the Facility Assets) as currently conducted does not infringe or otherwise violate any third-party Intellectual Property rights; (iii) no Person has asserted against Seller or any of its Affiliates a claim that any Facility Intellectual Property infringes or misappropriates the Intellectual Property of any Person; and (iv) to Seller’s Knowledge, no third party is infringing or otherwise violating any Facility Intellectual Property rights owned by Seller. </w:t>
      </w:r>
    </w:p>
    <w:p w:rsidRPr="00C83DF3" w:rsidR="00B71AF7" w:rsidP="00B71AF7" w:rsidRDefault="00B71AF7" w14:paraId="6CAFEF0E" w14:textId="77777777">
      <w:pPr>
        <w:pStyle w:val="zGTC02"/>
        <w:rPr>
          <w:rFonts w:ascii="Arial" w:hAnsi="Arial" w:cs="Arial"/>
          <w:vanish/>
          <w:szCs w:val="20"/>
          <w:specVanish/>
        </w:rPr>
      </w:pPr>
      <w:bookmarkStart w:name="_Ref500417281" w:id="165"/>
      <w:bookmarkStart w:name="_Ref500417985" w:id="166"/>
      <w:bookmarkStart w:name="_Toc66439040" w:id="167"/>
      <w:bookmarkStart w:name="_Toc143607212" w:id="168"/>
      <w:bookmarkStart w:name="_Toc169777905" w:id="169"/>
      <w:bookmarkStart w:name="_Toc181639421" w:id="170"/>
      <w:bookmarkStart w:name="_Toc214644741" w:id="171"/>
      <w:bookmarkStart w:name="_Toc138350368" w:id="172"/>
      <w:r>
        <w:rPr>
          <w:rFonts w:ascii="Arial" w:hAnsi="Arial" w:cs="Arial"/>
          <w:szCs w:val="20"/>
        </w:rPr>
        <w:t>Resource Data</w:t>
      </w:r>
      <w:bookmarkEnd w:id="165"/>
      <w:bookmarkEnd w:id="166"/>
      <w:bookmarkEnd w:id="167"/>
      <w:bookmarkEnd w:id="168"/>
      <w:r>
        <w:rPr>
          <w:rFonts w:ascii="Arial" w:hAnsi="Arial" w:cs="Arial"/>
        </w:rPr>
        <w:t>.</w:t>
      </w:r>
      <w:bookmarkEnd w:id="169"/>
      <w:bookmarkEnd w:id="170"/>
      <w:bookmarkEnd w:id="171"/>
    </w:p>
    <w:p w:rsidRPr="00AC1300" w:rsidR="00B71AF7" w:rsidP="00B71AF7" w:rsidRDefault="00B71AF7" w14:paraId="3472E4B9" w14:textId="3902F95C">
      <w:pPr>
        <w:pStyle w:val="zGNormal6"/>
      </w:pPr>
      <w:r>
        <w:t xml:space="preserve"> Section 3.21 of the Seller Disclosure Schedule includes a true, correct, and complete list or copy of the Resource Data. With respect to each item of Resource Data: (i) Seller has made available to GPC true, correct, and complete copies of all reports (including the most recent performance testing reports for the Facility), studies, analyses, tests, monitoring results, and assessments with respect to Resource Data measured or recorded at or with respect to the Facility or related to the Facility Real Property; (ii) the Resource Data is accurate in all material respects; (iii) Seller owns and possesses all right, title, and interest in and to the Resource Data, free of any Liens, other than Permitted Liens; (iv) Seller has not received any notification of any dispute with respect to any Resource Data; (v) the Resource Data is not subject to any outstanding Order; and (vi) no Person has assigned, transferred, or conveyed any interest in the Resource Data or the information contained </w:t>
      </w:r>
      <w:r w:rsidR="008F6BAE">
        <w:t>in the Resource Data</w:t>
      </w:r>
      <w:r>
        <w:t xml:space="preserve"> in any manner that would reasonably be expected to impair GPC’s right to use the Resource Data after the Closing.</w:t>
      </w:r>
    </w:p>
    <w:p w:rsidRPr="00C83DF3" w:rsidR="00B71AF7" w:rsidP="00B71AF7" w:rsidRDefault="00B71AF7" w14:paraId="36BD51C4" w14:textId="77777777">
      <w:pPr>
        <w:pStyle w:val="zGTC02"/>
        <w:rPr>
          <w:rFonts w:ascii="Arial" w:hAnsi="Arial" w:cs="Arial"/>
          <w:vanish/>
          <w:szCs w:val="20"/>
          <w:specVanish/>
        </w:rPr>
      </w:pPr>
      <w:bookmarkStart w:name="_Toc143607213" w:id="173"/>
      <w:bookmarkStart w:name="_Toc169777906" w:id="174"/>
      <w:bookmarkStart w:name="_Toc181639422" w:id="175"/>
      <w:bookmarkStart w:name="_Toc214644742" w:id="176"/>
      <w:r>
        <w:rPr>
          <w:rFonts w:ascii="Arial" w:hAnsi="Arial" w:cs="Arial"/>
        </w:rPr>
        <w:t>Employee Benefit Plan</w:t>
      </w:r>
      <w:bookmarkEnd w:id="172"/>
      <w:r>
        <w:rPr>
          <w:rFonts w:ascii="Arial" w:hAnsi="Arial" w:cs="Arial"/>
        </w:rPr>
        <w:t xml:space="preserve"> Liabilities.</w:t>
      </w:r>
      <w:bookmarkEnd w:id="173"/>
      <w:bookmarkEnd w:id="174"/>
      <w:bookmarkEnd w:id="175"/>
      <w:bookmarkEnd w:id="176"/>
    </w:p>
    <w:p w:rsidRPr="00C83DF3" w:rsidR="00B71AF7" w:rsidP="00B71AF7" w:rsidRDefault="00B71AF7" w14:paraId="17F6ADC3" w14:textId="77777777">
      <w:pPr>
        <w:pStyle w:val="zGTC03"/>
        <w:numPr>
          <w:ilvl w:val="0"/>
          <w:numId w:val="0"/>
        </w:numPr>
        <w:ind w:left="720"/>
      </w:pPr>
      <w:r>
        <w:t xml:space="preserve"> Except as set forth in Section 3.22 of the Seller Disclosure Schedule, </w:t>
      </w:r>
      <w:r>
        <w:rPr>
          <w:rStyle w:val="zGNormalChar"/>
        </w:rPr>
        <w:t xml:space="preserve">from and after the Closing Date, none of GPC or any of its Affiliates will incur, and no condition or set of circumstances could reasonably be expected to exist under which GPC or any of its Affiliates could incur, directly or indirectly, any Tax, penalty, fine, Liability, loss, cost, or expense under ERISA, the Code or any other applicable </w:t>
      </w:r>
      <w:r>
        <w:t>law</w:t>
      </w:r>
      <w:r>
        <w:rPr>
          <w:rStyle w:val="zGNormalChar"/>
        </w:rPr>
        <w:t>, or in accordance with any indemnification or similar agreement, under the terms of or otherwise regarding any employee compensation or benefit plan, program, agreement or arrangement, providing retirement, incentive compensation, health, disability, severance, life, change in control, or equity compensation or benefits (including any Benefit Plan), established or maintained by Seller or any of its Affiliates or ERISA Affiliates</w:t>
      </w:r>
      <w:r>
        <w:t>.</w:t>
      </w:r>
    </w:p>
    <w:p w:rsidRPr="00C83DF3" w:rsidR="00B71AF7" w:rsidP="00B71AF7" w:rsidRDefault="00B71AF7" w14:paraId="6D74D858" w14:textId="77777777">
      <w:pPr>
        <w:pStyle w:val="zGTC02"/>
        <w:rPr>
          <w:rFonts w:ascii="Arial" w:hAnsi="Arial" w:cs="Arial"/>
          <w:vanish/>
          <w:specVanish/>
        </w:rPr>
      </w:pPr>
      <w:bookmarkStart w:name="_Toc138350369" w:id="177"/>
      <w:bookmarkStart w:name="_Toc143607214" w:id="178"/>
      <w:bookmarkStart w:name="_Toc169777907" w:id="179"/>
      <w:bookmarkStart w:name="_Toc181639423" w:id="180"/>
      <w:bookmarkStart w:name="_Toc214644743" w:id="181"/>
      <w:r>
        <w:rPr>
          <w:rFonts w:ascii="Arial" w:hAnsi="Arial" w:cs="Arial"/>
        </w:rPr>
        <w:t>Undisclosed Liabilities.</w:t>
      </w:r>
      <w:bookmarkEnd w:id="177"/>
      <w:bookmarkEnd w:id="178"/>
      <w:bookmarkEnd w:id="179"/>
      <w:bookmarkEnd w:id="180"/>
      <w:bookmarkEnd w:id="181"/>
    </w:p>
    <w:p w:rsidRPr="00C83DF3" w:rsidR="00B71AF7" w:rsidP="00B71AF7" w:rsidRDefault="00B71AF7" w14:paraId="369CA540" w14:textId="77777777">
      <w:pPr>
        <w:pStyle w:val="zGNormal"/>
        <w:spacing w:after="120"/>
      </w:pPr>
      <w:r>
        <w:t xml:space="preserve"> Seller does not have any Liabilities that (x) are Assumed Liabilities and (y) would be required by GAAP to be reflected or reserved against on an unaudited balance sheet of Seller (or disclosed in footnotes), other than Liabilities: (i) adequately reflected or reserved against on the Interim Balance Sheet; (ii) incurred in the ordinary course of business since the Interim Balance Sheet Date; (iii) incurred in compliance with the terms of this APA, any other Transaction Document, or any Facility Contract (other than any Liability resulting from any breach or default by Seller or any of its Affiliates); or (iv) set forth in Section 3.23 of the Seller Disclosure Schedule.</w:t>
      </w:r>
    </w:p>
    <w:p w:rsidRPr="00C83DF3" w:rsidR="00B71AF7" w:rsidP="00B71AF7" w:rsidRDefault="00B71AF7" w14:paraId="327C56B3" w14:textId="77777777">
      <w:pPr>
        <w:pStyle w:val="zGTC02"/>
        <w:rPr>
          <w:rFonts w:ascii="Arial" w:hAnsi="Arial" w:cs="Arial"/>
          <w:vanish/>
          <w:specVanish/>
        </w:rPr>
      </w:pPr>
      <w:bookmarkStart w:name="_Toc138350370" w:id="182"/>
      <w:bookmarkStart w:name="_Toc143607215" w:id="183"/>
      <w:bookmarkStart w:name="_Toc169777908" w:id="184"/>
      <w:bookmarkStart w:name="_Toc181639424" w:id="185"/>
      <w:bookmarkStart w:name="_Toc214644744" w:id="186"/>
      <w:r>
        <w:rPr>
          <w:rFonts w:ascii="Arial" w:hAnsi="Arial" w:cs="Arial"/>
        </w:rPr>
        <w:t>Absence of Certain Changes.</w:t>
      </w:r>
      <w:bookmarkEnd w:id="182"/>
      <w:bookmarkEnd w:id="183"/>
      <w:bookmarkEnd w:id="184"/>
      <w:bookmarkEnd w:id="185"/>
      <w:bookmarkEnd w:id="186"/>
    </w:p>
    <w:p w:rsidRPr="00C83DF3" w:rsidR="00B71AF7" w:rsidP="00B71AF7" w:rsidRDefault="00B71AF7" w14:paraId="6716F1AF" w14:textId="7ECAE22B">
      <w:pPr>
        <w:pStyle w:val="zGNormal"/>
        <w:spacing w:after="120"/>
      </w:pPr>
      <w:r>
        <w:t xml:space="preserve"> Except for the negotiation, preparation, and the execution and delivery of this APA, </w:t>
      </w:r>
      <w:r w:rsidR="003D701F">
        <w:t xml:space="preserve">or as set forth in Section 3.24 of the Seller Disclosure Schedule, </w:t>
      </w:r>
      <w:r>
        <w:t>since the Interim Balance Sheet Date: (i) Seller has conducted its business (including the ownership, operation, maintenance, and use of the Facility and the other Facility Assets) in the ordinary course of business; (ii) there has not occurred any change, event, circumstance, development, occurrence, or effect (including, subject to Section 5.17 (</w:t>
      </w:r>
      <w:r>
        <w:rPr>
          <w:i/>
          <w:iCs/>
        </w:rPr>
        <w:t>Casualty Loss</w:t>
      </w:r>
      <w:r>
        <w:t>), any damage, destruction, casualty, or loss of any kind to the Facility) that, individually or in the aggregate with other changes, events, circumstances, developments, occurrences, or effects, has resulted in, or could reasonably be expected to result in, a Seller Material Adverse Effect; and (iii) there has been no action or failure to act that would constitute a violation of Section 5.3.1 (</w:t>
      </w:r>
      <w:r>
        <w:rPr>
          <w:i/>
          <w:iCs/>
        </w:rPr>
        <w:t>Interim Period</w:t>
      </w:r>
      <w:r>
        <w:t xml:space="preserve">) if the action or failure to act were to </w:t>
      </w:r>
      <w:r w:rsidR="00C142EA">
        <w:t xml:space="preserve">occur </w:t>
      </w:r>
      <w:r>
        <w:t xml:space="preserve">without the consent of GPC from the </w:t>
      </w:r>
      <w:r w:rsidR="00DB7F24">
        <w:t>Effective Date</w:t>
      </w:r>
      <w:r>
        <w:t xml:space="preserve"> through the earlier of the Closing or the termination of this APA.</w:t>
      </w:r>
    </w:p>
    <w:p w:rsidRPr="00C83DF3" w:rsidR="00B71AF7" w:rsidP="00B71AF7" w:rsidRDefault="00B71AF7" w14:paraId="7642AC8C" w14:textId="77777777">
      <w:pPr>
        <w:pStyle w:val="zGTC02"/>
        <w:rPr>
          <w:rFonts w:ascii="Arial" w:hAnsi="Arial" w:cs="Arial"/>
          <w:vanish/>
          <w:specVanish/>
        </w:rPr>
      </w:pPr>
      <w:bookmarkStart w:name="_Toc138350371" w:id="187"/>
      <w:bookmarkStart w:name="_Toc143607216" w:id="188"/>
      <w:bookmarkStart w:name="_Toc169777909" w:id="189"/>
      <w:bookmarkStart w:name="_Toc181639425" w:id="190"/>
      <w:bookmarkStart w:name="_Toc214644745" w:id="191"/>
      <w:r>
        <w:rPr>
          <w:rFonts w:ascii="Arial" w:hAnsi="Arial" w:cs="Arial"/>
        </w:rPr>
        <w:t>Credit Support.</w:t>
      </w:r>
      <w:bookmarkEnd w:id="187"/>
      <w:bookmarkEnd w:id="188"/>
      <w:bookmarkEnd w:id="189"/>
      <w:bookmarkEnd w:id="190"/>
      <w:bookmarkEnd w:id="191"/>
    </w:p>
    <w:p w:rsidRPr="00C83DF3" w:rsidR="00B71AF7" w:rsidP="00B71AF7" w:rsidRDefault="00B71AF7" w14:paraId="76E27F3A" w14:textId="77777777">
      <w:pPr>
        <w:spacing w:after="120" w:line="257" w:lineRule="auto"/>
      </w:pPr>
      <w:r>
        <w:rPr>
          <w:rFonts w:ascii="Arial" w:hAnsi="Arial" w:cs="Arial"/>
          <w:sz w:val="20"/>
          <w:szCs w:val="20"/>
        </w:rPr>
        <w:t xml:space="preserve"> Other than as set forth in Section 3.25 of the Seller Disclosure Schedule, there is no letter of credit, guarantee, bond, cash collateral, or other credit assurance of a comparable nature provided, or to be provided, by or on behalf of Seller or any of its Affiliates for the benefit of the Facility.</w:t>
      </w:r>
    </w:p>
    <w:p w:rsidRPr="00C83DF3" w:rsidR="00B71AF7" w:rsidP="00B71AF7" w:rsidRDefault="00B71AF7" w14:paraId="6A37C463" w14:textId="77777777">
      <w:pPr>
        <w:pStyle w:val="zGTC02"/>
        <w:rPr>
          <w:rFonts w:ascii="Arial" w:hAnsi="Arial" w:cs="Arial"/>
          <w:vanish/>
          <w:specVanish/>
        </w:rPr>
      </w:pPr>
      <w:bookmarkStart w:name="_Toc138350372" w:id="192"/>
      <w:bookmarkStart w:name="_Toc143607217" w:id="193"/>
      <w:bookmarkStart w:name="_Toc169777910" w:id="194"/>
      <w:bookmarkStart w:name="_Toc181639426" w:id="195"/>
      <w:bookmarkStart w:name="_Toc214644746" w:id="196"/>
      <w:r>
        <w:rPr>
          <w:rFonts w:ascii="Arial" w:hAnsi="Arial" w:cs="Arial"/>
        </w:rPr>
        <w:t>Affiliate Arrangements.</w:t>
      </w:r>
      <w:bookmarkEnd w:id="192"/>
      <w:bookmarkEnd w:id="193"/>
      <w:bookmarkEnd w:id="194"/>
      <w:bookmarkEnd w:id="195"/>
      <w:bookmarkEnd w:id="196"/>
    </w:p>
    <w:p w:rsidRPr="00C83DF3" w:rsidR="00B71AF7" w:rsidP="00B71AF7" w:rsidRDefault="00B71AF7" w14:paraId="7875EE97" w14:textId="77777777">
      <w:pPr>
        <w:pStyle w:val="zGNormal"/>
        <w:spacing w:after="120"/>
      </w:pPr>
      <w:r>
        <w:t xml:space="preserve"> Except as set forth in Section 3.26 of the Seller Disclosure Schedule, neither any of Seller’s Affiliates or any direct or indirect equity holder of any of Seller’s Affiliates, or any director, officer, or employee of any of the foregoing: (i) is a party to any Contract with Seller; (ii) provides services or resources to Seller, or receives services or resources provided by Seller; or (iii) has any material interest in any Person that acquires from or provides to Seller any goods or services that are material to the ownership, operation, maintenance, repair, or use of the Facility as currently conducted (each, an “</w:t>
      </w:r>
      <w:r>
        <w:rPr>
          <w:b/>
          <w:bCs/>
        </w:rPr>
        <w:t>Affiliate Arrangement</w:t>
      </w:r>
      <w:r>
        <w:t>”).</w:t>
      </w:r>
    </w:p>
    <w:p w:rsidRPr="00C83DF3" w:rsidR="00B71AF7" w:rsidP="00B71AF7" w:rsidRDefault="00B71AF7" w14:paraId="5F4F14E2" w14:textId="77777777">
      <w:pPr>
        <w:pStyle w:val="zGTC02"/>
        <w:rPr>
          <w:rFonts w:ascii="Arial" w:hAnsi="Arial" w:cs="Arial"/>
          <w:vanish/>
          <w:specVanish/>
        </w:rPr>
      </w:pPr>
      <w:bookmarkStart w:name="_Toc138350373" w:id="197"/>
      <w:bookmarkStart w:name="_Toc143607218" w:id="198"/>
      <w:bookmarkStart w:name="_Toc169777911" w:id="199"/>
      <w:bookmarkStart w:name="_Toc181639427" w:id="200"/>
      <w:bookmarkStart w:name="_Toc214644747" w:id="201"/>
      <w:r>
        <w:rPr>
          <w:rFonts w:ascii="Arial" w:hAnsi="Arial" w:cs="Arial"/>
        </w:rPr>
        <w:t>Brokers.</w:t>
      </w:r>
      <w:bookmarkEnd w:id="197"/>
      <w:bookmarkEnd w:id="198"/>
      <w:bookmarkEnd w:id="199"/>
      <w:bookmarkEnd w:id="200"/>
      <w:bookmarkEnd w:id="201"/>
    </w:p>
    <w:p w:rsidRPr="00C83DF3" w:rsidR="00B71AF7" w:rsidP="00B71AF7" w:rsidRDefault="00B71AF7" w14:paraId="77E11005" w14:textId="77777777">
      <w:pPr>
        <w:pStyle w:val="zGNormal"/>
        <w:spacing w:after="120"/>
      </w:pPr>
      <w:r>
        <w:t xml:space="preserve"> Neither Seller nor any of its Affiliates has any Liability or obligation to pay fees or commissions to any broker, finder, or agent with respect to the transactions contemplated by this APA, or any other Transaction Document for which GPC or any of its Affiliates could become liable or obliged.</w:t>
      </w:r>
    </w:p>
    <w:p w:rsidRPr="00C83DF3" w:rsidR="00B71AF7" w:rsidP="00B71AF7" w:rsidRDefault="00B71AF7" w14:paraId="10307B91" w14:textId="77777777">
      <w:pPr>
        <w:pStyle w:val="zGTC02"/>
        <w:rPr>
          <w:rFonts w:ascii="Arial" w:hAnsi="Arial" w:cs="Arial"/>
          <w:vanish/>
          <w:specVanish/>
        </w:rPr>
      </w:pPr>
      <w:bookmarkStart w:name="_Toc138350374" w:id="202"/>
      <w:bookmarkStart w:name="_Toc143607219" w:id="203"/>
      <w:bookmarkStart w:name="_Toc169777912" w:id="204"/>
      <w:bookmarkStart w:name="_Toc181639428" w:id="205"/>
      <w:bookmarkStart w:name="_Toc214644748" w:id="206"/>
      <w:r>
        <w:rPr>
          <w:rFonts w:ascii="Arial" w:hAnsi="Arial" w:cs="Arial"/>
        </w:rPr>
        <w:t>Development Fees.</w:t>
      </w:r>
      <w:bookmarkEnd w:id="202"/>
      <w:bookmarkEnd w:id="203"/>
      <w:bookmarkEnd w:id="204"/>
      <w:bookmarkEnd w:id="205"/>
      <w:bookmarkEnd w:id="206"/>
    </w:p>
    <w:p w:rsidRPr="00C83DF3" w:rsidR="00B71AF7" w:rsidP="00B71AF7" w:rsidRDefault="00B71AF7" w14:paraId="2F0124F2" w14:textId="77777777">
      <w:pPr>
        <w:pStyle w:val="zGNormal"/>
        <w:spacing w:after="120"/>
      </w:pPr>
      <w:r>
        <w:t xml:space="preserve"> Except as set forth in Section 3.28 of the Seller Disclosure Schedule, there are no amounts due or that may become due and </w:t>
      </w:r>
      <w:proofErr w:type="gramStart"/>
      <w:r>
        <w:t>owing</w:t>
      </w:r>
      <w:proofErr w:type="gramEnd"/>
      <w:r>
        <w:t xml:space="preserve"> by Seller, any Affiliates of Seller, or GPC in connection with any </w:t>
      </w:r>
      <w:r>
        <w:lastRenderedPageBreak/>
        <w:t>prior development or acquisition agreement or related transaction with respect to the Facility. Except as set forth in Section 3.28 of the Seller Disclosure Schedule, there are no restrictions on competition, change in control restrictions, direct or indirect equity ownership, or asset transfer restrictions, rights of first refusal, rights of first offer, or other similar rights or restrictions that restrict Seller from entering into, implementing, or consummating the transactions contemplated by this APA.</w:t>
      </w:r>
    </w:p>
    <w:p w:rsidRPr="00C83DF3" w:rsidR="00B71AF7" w:rsidP="00B71AF7" w:rsidRDefault="00B71AF7" w14:paraId="59F32563" w14:textId="77777777">
      <w:pPr>
        <w:pStyle w:val="zGTC02"/>
        <w:rPr>
          <w:rFonts w:ascii="Arial" w:hAnsi="Arial" w:cs="Arial"/>
          <w:vanish/>
          <w:specVanish/>
        </w:rPr>
      </w:pPr>
      <w:bookmarkStart w:name="_Toc138350375" w:id="207"/>
      <w:bookmarkStart w:name="_Toc143607220" w:id="208"/>
      <w:bookmarkStart w:name="_Toc169777913" w:id="209"/>
      <w:bookmarkStart w:name="_Toc181639429" w:id="210"/>
      <w:bookmarkStart w:name="_Toc214644749" w:id="211"/>
      <w:r>
        <w:rPr>
          <w:rFonts w:ascii="Arial" w:hAnsi="Arial" w:cs="Arial"/>
        </w:rPr>
        <w:t>Disclosure.</w:t>
      </w:r>
      <w:bookmarkEnd w:id="207"/>
      <w:bookmarkEnd w:id="208"/>
      <w:bookmarkEnd w:id="209"/>
      <w:bookmarkEnd w:id="210"/>
      <w:bookmarkEnd w:id="211"/>
    </w:p>
    <w:p w:rsidRPr="00C83DF3" w:rsidR="00B71AF7" w:rsidP="00B71AF7" w:rsidRDefault="00B71AF7" w14:paraId="5FEE401F" w14:textId="05647B9F">
      <w:pPr>
        <w:pStyle w:val="zGNormal"/>
        <w:spacing w:after="120"/>
      </w:pPr>
      <w:r>
        <w:t xml:space="preserve"> Seller has made available for GPC’s review all material information requested in writing by GPC in the possession or control of, or reasonably available to, Seller or any Affiliate of Seller relating to the Facility, including the Facility Assets, in connection with GPC’s due diligence examination conducted with respect to the transactions contemplated by this APA.  </w:t>
      </w:r>
    </w:p>
    <w:p w:rsidRPr="00C83DF3" w:rsidR="00B71AF7" w:rsidP="00B71AF7" w:rsidRDefault="00B71AF7" w14:paraId="521EDA73" w14:textId="77777777">
      <w:pPr>
        <w:pStyle w:val="zGTC02"/>
        <w:rPr>
          <w:rFonts w:ascii="Arial" w:hAnsi="Arial" w:cs="Arial"/>
          <w:vanish/>
          <w:specVanish/>
        </w:rPr>
      </w:pPr>
      <w:bookmarkStart w:name="_Toc138350376" w:id="212"/>
      <w:bookmarkStart w:name="_Toc143607221" w:id="213"/>
      <w:bookmarkStart w:name="_Toc169777914" w:id="214"/>
      <w:bookmarkStart w:name="_Toc181639430" w:id="215"/>
      <w:bookmarkStart w:name="_Toc214644750" w:id="216"/>
      <w:r>
        <w:rPr>
          <w:rFonts w:ascii="Arial" w:hAnsi="Arial" w:cs="Arial"/>
        </w:rPr>
        <w:t>Reports.</w:t>
      </w:r>
      <w:bookmarkEnd w:id="212"/>
      <w:bookmarkEnd w:id="213"/>
      <w:bookmarkEnd w:id="214"/>
      <w:bookmarkEnd w:id="215"/>
      <w:bookmarkEnd w:id="216"/>
    </w:p>
    <w:p w:rsidRPr="00C83DF3" w:rsidR="00B71AF7" w:rsidP="00B71AF7" w:rsidRDefault="00B71AF7" w14:paraId="04AF4AEB" w14:textId="77777777">
      <w:pPr>
        <w:pStyle w:val="zGNormal"/>
        <w:spacing w:after="120"/>
      </w:pPr>
      <w:r>
        <w:t xml:space="preserve"> Seller has delivered to GPC true, correct, and complete copies of the Reports (including the most recent performance testing reports for the Facility). None of the Reports, individually or in the aggregate, indicate any event, result, occurrence, development, fact, change, or effect of whatever nature or kind that has had or would reasonably be expected to have a Seller Material Adverse Effect.</w:t>
      </w:r>
    </w:p>
    <w:p w:rsidRPr="00C83DF3" w:rsidR="00B71AF7" w:rsidP="00B71AF7" w:rsidRDefault="00B71AF7" w14:paraId="53D9C461" w14:textId="77777777">
      <w:pPr>
        <w:pStyle w:val="zGTC02"/>
        <w:rPr>
          <w:rFonts w:ascii="Arial" w:hAnsi="Arial" w:cs="Arial"/>
          <w:vanish/>
          <w:specVanish/>
        </w:rPr>
      </w:pPr>
      <w:bookmarkStart w:name="_Toc138350377" w:id="217"/>
      <w:bookmarkStart w:name="_Toc143607222" w:id="218"/>
      <w:bookmarkStart w:name="_Toc169777915" w:id="219"/>
      <w:bookmarkStart w:name="_Toc181639431" w:id="220"/>
      <w:bookmarkStart w:name="_Toc214644751" w:id="221"/>
      <w:r>
        <w:rPr>
          <w:rFonts w:ascii="Arial" w:hAnsi="Arial" w:cs="Arial"/>
        </w:rPr>
        <w:t>Anti-Corruption.</w:t>
      </w:r>
      <w:bookmarkEnd w:id="217"/>
      <w:bookmarkEnd w:id="218"/>
      <w:bookmarkEnd w:id="219"/>
      <w:bookmarkEnd w:id="220"/>
      <w:bookmarkEnd w:id="221"/>
    </w:p>
    <w:p w:rsidRPr="00C83DF3" w:rsidR="00B71AF7" w:rsidP="00B71AF7" w:rsidRDefault="00B71AF7" w14:paraId="644FA11E" w14:textId="77777777">
      <w:pPr>
        <w:pStyle w:val="zGNormal"/>
        <w:spacing w:after="120"/>
      </w:pPr>
      <w:r>
        <w:t xml:space="preserve"> None of Seller or any Affiliate of Seller, or any Person acting on behalf of Seller or any Affiliate of Seller, has, directly or indirectly, made contributions, gifts, or payments relating to any political activity or solicitation of business which was prohibited by law or, on behalf of Seller, made any direct or indirect unlawful payment to any official or employee of any Governmental Authority, or established or maintained any unlawful or unreported funds. None of Seller or any Affiliate of Seller, or any Person acting on behalf of Seller or any Affiliate of Seller, has accepted or received any unlawful contribution, payment, gift, entertainment, or expenditure.</w:t>
      </w:r>
    </w:p>
    <w:p w:rsidRPr="00C83DF3" w:rsidR="00B71AF7" w:rsidP="00B71AF7" w:rsidRDefault="00B71AF7" w14:paraId="5DE4DA9B" w14:textId="77777777">
      <w:pPr>
        <w:pStyle w:val="zGTC02"/>
        <w:rPr>
          <w:rFonts w:ascii="Arial" w:hAnsi="Arial" w:cs="Arial"/>
          <w:vanish/>
          <w:specVanish/>
        </w:rPr>
      </w:pPr>
      <w:bookmarkStart w:name="_Toc138350378" w:id="222"/>
      <w:bookmarkStart w:name="_Toc143607223" w:id="223"/>
      <w:bookmarkStart w:name="_Toc169777916" w:id="224"/>
      <w:bookmarkStart w:name="_Toc181639432" w:id="225"/>
      <w:bookmarkStart w:name="_Toc214644752" w:id="226"/>
      <w:r>
        <w:rPr>
          <w:rFonts w:ascii="Arial" w:hAnsi="Arial" w:cs="Arial"/>
        </w:rPr>
        <w:t>Sufficient Funds.</w:t>
      </w:r>
      <w:bookmarkEnd w:id="222"/>
      <w:bookmarkEnd w:id="223"/>
      <w:bookmarkEnd w:id="224"/>
      <w:bookmarkEnd w:id="225"/>
      <w:bookmarkEnd w:id="226"/>
    </w:p>
    <w:p w:rsidRPr="00C83DF3" w:rsidR="00B71AF7" w:rsidP="00B71AF7" w:rsidRDefault="00B71AF7" w14:paraId="2FA35CED" w14:textId="4E7FFE3C">
      <w:pPr>
        <w:pStyle w:val="zGNormal"/>
        <w:spacing w:after="120"/>
      </w:pPr>
      <w:r>
        <w:t xml:space="preserve"> Seller and Seller Guarantor have sufficient funds available to </w:t>
      </w:r>
      <w:r w:rsidR="004B00F8">
        <w:t>them</w:t>
      </w:r>
      <w:r>
        <w:t xml:space="preserve"> </w:t>
      </w:r>
      <w:r w:rsidR="004B1C7D">
        <w:t>to</w:t>
      </w:r>
      <w:r>
        <w:t xml:space="preserve"> meet </w:t>
      </w:r>
      <w:r w:rsidR="004B00F8">
        <w:t>their</w:t>
      </w:r>
      <w:r w:rsidR="004B1C7D">
        <w:t xml:space="preserve"> respective</w:t>
      </w:r>
      <w:r>
        <w:t xml:space="preserve"> obligations under this APA and the Transaction Documents.</w:t>
      </w:r>
    </w:p>
    <w:p w:rsidRPr="00C83DF3" w:rsidR="00B71AF7" w:rsidP="00B71AF7" w:rsidRDefault="00B71AF7" w14:paraId="2930CA2A" w14:textId="77777777">
      <w:pPr>
        <w:pStyle w:val="zGTC02"/>
        <w:rPr>
          <w:rFonts w:ascii="Arial" w:hAnsi="Arial" w:cs="Arial"/>
          <w:vanish/>
          <w:specVanish/>
        </w:rPr>
      </w:pPr>
      <w:bookmarkStart w:name="_Toc140837700" w:id="227"/>
      <w:bookmarkStart w:name="_Toc140837701" w:id="228"/>
      <w:bookmarkStart w:name="_Toc140837702" w:id="229"/>
      <w:bookmarkStart w:name="_Toc138350379" w:id="230"/>
      <w:bookmarkStart w:name="_Toc143607224" w:id="231"/>
      <w:bookmarkStart w:name="_Toc169777917" w:id="232"/>
      <w:bookmarkStart w:name="_Toc181639433" w:id="233"/>
      <w:bookmarkStart w:name="_Toc214644753" w:id="234"/>
      <w:bookmarkStart w:name="_Hlk144631599" w:id="235"/>
      <w:bookmarkEnd w:id="227"/>
      <w:bookmarkEnd w:id="228"/>
      <w:bookmarkEnd w:id="229"/>
      <w:r>
        <w:rPr>
          <w:rFonts w:ascii="Arial" w:hAnsi="Arial" w:cs="Arial"/>
        </w:rPr>
        <w:t>Bankruptcy; Insolvency.</w:t>
      </w:r>
      <w:bookmarkEnd w:id="230"/>
      <w:bookmarkEnd w:id="231"/>
      <w:bookmarkEnd w:id="232"/>
      <w:bookmarkEnd w:id="233"/>
      <w:bookmarkEnd w:id="234"/>
    </w:p>
    <w:p w:rsidRPr="00C83DF3" w:rsidR="00B71AF7" w:rsidP="00B71AF7" w:rsidRDefault="00B71AF7" w14:paraId="4FC86D79" w14:textId="77777777">
      <w:pPr>
        <w:pStyle w:val="zGNormal"/>
        <w:spacing w:after="120"/>
      </w:pPr>
      <w:r>
        <w:t xml:space="preserve"> </w:t>
      </w:r>
      <w:bookmarkStart w:name="_Hlk144631392" w:id="236"/>
      <w:r>
        <w:t>There is no bankruptcy, reorganization, or insolvency proceeding pending, being contemplated by or, to Seller’s Knowledge, threatened against Seller or Seller Guarantor, and, to Seller’s Knowledge, no facts, conditions, or circumstances exist that would permit one or more Persons to bring an involuntary bankruptcy proceeding against Seller or Seller Guarantor. Each of Seller and Seller Guarantor is, and immediately after giving effect to the transactions contemplated by this APA will be, Solvent</w:t>
      </w:r>
      <w:bookmarkEnd w:id="235"/>
      <w:bookmarkEnd w:id="236"/>
      <w:r>
        <w:t>.</w:t>
      </w:r>
    </w:p>
    <w:p w:rsidRPr="00C83DF3" w:rsidR="00B71AF7" w:rsidP="00B71AF7" w:rsidRDefault="00B71AF7" w14:paraId="571C87FB" w14:textId="77777777">
      <w:pPr>
        <w:pStyle w:val="zGTC02"/>
        <w:rPr>
          <w:rFonts w:ascii="Arial" w:hAnsi="Arial" w:cs="Arial"/>
          <w:vanish/>
          <w:specVanish/>
        </w:rPr>
      </w:pPr>
      <w:bookmarkStart w:name="_Toc143607225" w:id="237"/>
      <w:bookmarkStart w:name="_Toc169777918" w:id="238"/>
      <w:bookmarkStart w:name="_Toc181639434" w:id="239"/>
      <w:bookmarkStart w:name="_Toc214644754" w:id="240"/>
      <w:r>
        <w:rPr>
          <w:rFonts w:ascii="Arial" w:hAnsi="Arial" w:cs="Arial"/>
        </w:rPr>
        <w:t>Data Security and Cybersecurity.</w:t>
      </w:r>
      <w:bookmarkEnd w:id="237"/>
      <w:bookmarkEnd w:id="238"/>
      <w:bookmarkEnd w:id="239"/>
      <w:bookmarkEnd w:id="240"/>
    </w:p>
    <w:p w:rsidRPr="00C83DF3" w:rsidR="00CB3D89" w:rsidP="00B71AF7" w:rsidRDefault="00B71AF7" w14:paraId="7C999DE4" w14:textId="77777777">
      <w:pPr>
        <w:pStyle w:val="zGNormal"/>
        <w:spacing w:after="120"/>
      </w:pPr>
      <w:r>
        <w:t xml:space="preserve"> Seller has provided true and correct copies of all current cybersecurity and privacy policies with respect to the Facility and the Facility Assets. Except </w:t>
      </w:r>
      <w:proofErr w:type="gramStart"/>
      <w:r>
        <w:t>as</w:t>
      </w:r>
      <w:proofErr w:type="gramEnd"/>
      <w:r>
        <w:t xml:space="preserve"> would not result in </w:t>
      </w:r>
      <w:proofErr w:type="gramStart"/>
      <w:r>
        <w:t>a material</w:t>
      </w:r>
      <w:proofErr w:type="gramEnd"/>
      <w:r>
        <w:t xml:space="preserve"> liability to the Facility, Seller has </w:t>
      </w:r>
      <w:proofErr w:type="gramStart"/>
      <w:r>
        <w:t>taken</w:t>
      </w:r>
      <w:proofErr w:type="gramEnd"/>
      <w:r>
        <w:t xml:space="preserve"> commercially reasonable efforts to protect and maintain data security with respect to the Facility and the Facility Assets.</w:t>
      </w:r>
    </w:p>
    <w:p w:rsidRPr="00C83DF3" w:rsidR="0029492C" w:rsidP="00B71D5E" w:rsidRDefault="0029492C" w14:paraId="2C4B41BE" w14:textId="77777777">
      <w:pPr>
        <w:pStyle w:val="zGTC01"/>
        <w:spacing w:before="120"/>
        <w:rPr>
          <w:rFonts w:ascii="Arial" w:hAnsi="Arial"/>
        </w:rPr>
      </w:pPr>
      <w:bookmarkStart w:name="_Toc138350380" w:id="241"/>
      <w:bookmarkStart w:name="_Toc143607226" w:id="242"/>
      <w:bookmarkStart w:name="_Toc143607303" w:id="243"/>
      <w:bookmarkStart w:name="_Toc181639435" w:id="244"/>
      <w:bookmarkStart w:name="_Toc214644755" w:id="245"/>
      <w:r>
        <w:rPr>
          <w:rFonts w:ascii="Arial" w:hAnsi="Arial"/>
        </w:rPr>
        <w:t>Representations and Warranties of GPC</w:t>
      </w:r>
      <w:bookmarkEnd w:id="241"/>
      <w:bookmarkEnd w:id="242"/>
      <w:bookmarkEnd w:id="243"/>
      <w:bookmarkEnd w:id="244"/>
      <w:bookmarkEnd w:id="245"/>
      <w:r>
        <w:rPr>
          <w:rFonts w:ascii="Arial" w:hAnsi="Arial"/>
        </w:rPr>
        <w:t xml:space="preserve"> </w:t>
      </w:r>
    </w:p>
    <w:p w:rsidRPr="00C83DF3" w:rsidR="0029492C" w:rsidP="00DF2081" w:rsidRDefault="0029492C" w14:paraId="5E25F10F" w14:textId="74B6468B">
      <w:pPr>
        <w:spacing w:before="120" w:after="120" w:line="240" w:lineRule="auto"/>
        <w:jc w:val="both"/>
        <w:rPr>
          <w:rFonts w:ascii="Arial" w:hAnsi="Arial" w:cs="Arial"/>
          <w:sz w:val="20"/>
          <w:szCs w:val="20"/>
        </w:rPr>
      </w:pPr>
      <w:r>
        <w:rPr>
          <w:rFonts w:ascii="Arial" w:hAnsi="Arial" w:cs="Arial"/>
          <w:sz w:val="20"/>
          <w:szCs w:val="20"/>
        </w:rPr>
        <w:t xml:space="preserve">GPC represents and warrants to Seller as of the </w:t>
      </w:r>
      <w:r w:rsidR="00DB7F24">
        <w:rPr>
          <w:rFonts w:ascii="Arial" w:hAnsi="Arial" w:cs="Arial"/>
          <w:sz w:val="20"/>
          <w:szCs w:val="20"/>
        </w:rPr>
        <w:t xml:space="preserve">Effective Date </w:t>
      </w:r>
      <w:r>
        <w:rPr>
          <w:rFonts w:ascii="Arial" w:hAnsi="Arial" w:cs="Arial"/>
          <w:sz w:val="20"/>
          <w:szCs w:val="20"/>
        </w:rPr>
        <w:t xml:space="preserve">and as of the Closing Date (except for those representations and warranties made as of a specified date, </w:t>
      </w:r>
      <w:r w:rsidR="00BB54C6">
        <w:rPr>
          <w:rFonts w:ascii="Arial" w:hAnsi="Arial" w:cs="Arial"/>
          <w:sz w:val="20"/>
          <w:szCs w:val="20"/>
        </w:rPr>
        <w:t>with respect to which GPC represents and warrants to Seller as of that specified date</w:t>
      </w:r>
      <w:r>
        <w:rPr>
          <w:rFonts w:ascii="Arial" w:hAnsi="Arial" w:cs="Arial"/>
          <w:sz w:val="20"/>
          <w:szCs w:val="20"/>
        </w:rPr>
        <w:t>) as follows:</w:t>
      </w:r>
    </w:p>
    <w:p w:rsidRPr="00C83DF3" w:rsidR="0029492C" w:rsidP="00B71D5E" w:rsidRDefault="0029492C" w14:paraId="709DC0E3" w14:textId="77777777">
      <w:pPr>
        <w:pStyle w:val="zGTC02"/>
        <w:rPr>
          <w:rFonts w:ascii="Arial" w:hAnsi="Arial" w:cs="Arial"/>
          <w:vanish/>
          <w:specVanish/>
        </w:rPr>
      </w:pPr>
      <w:bookmarkStart w:name="_Toc138350381" w:id="246"/>
      <w:bookmarkStart w:name="_Toc143607227" w:id="247"/>
      <w:bookmarkStart w:name="_Toc181639436" w:id="248"/>
      <w:bookmarkStart w:name="_Toc214644756" w:id="249"/>
      <w:r>
        <w:rPr>
          <w:rFonts w:ascii="Arial" w:hAnsi="Arial" w:cs="Arial"/>
        </w:rPr>
        <w:t>Organization; Existence.</w:t>
      </w:r>
      <w:bookmarkEnd w:id="246"/>
      <w:bookmarkEnd w:id="247"/>
      <w:bookmarkEnd w:id="248"/>
      <w:bookmarkEnd w:id="249"/>
    </w:p>
    <w:p w:rsidRPr="00C83DF3" w:rsidR="0029492C" w:rsidP="00B71D5E" w:rsidRDefault="0029492C" w14:paraId="6EFDA8A4" w14:textId="77777777">
      <w:pPr>
        <w:pStyle w:val="zGNormal"/>
        <w:spacing w:after="120"/>
      </w:pPr>
      <w:r>
        <w:t xml:space="preserve"> GPC is a corporation duly formed, validly existing, and in good standing under the laws of the state of Georgia. GPC has all requisite corporate power and authority to: (i) own, lease, and operate its assets and properties where its assets and properties are currently owned, leased, and </w:t>
      </w:r>
      <w:proofErr w:type="gramStart"/>
      <w:r>
        <w:t>operated</w:t>
      </w:r>
      <w:proofErr w:type="gramEnd"/>
      <w:r>
        <w:t>; and (ii) carry on its business as it is now being conducted. GPC is duly qualified or licensed to do business and is in good standing in each jurisdiction in which the qualification is required.</w:t>
      </w:r>
    </w:p>
    <w:p w:rsidRPr="00C83DF3" w:rsidR="0029492C" w:rsidP="00B71D5E" w:rsidRDefault="0029492C" w14:paraId="143B963D" w14:textId="77777777">
      <w:pPr>
        <w:pStyle w:val="zGTC02"/>
        <w:rPr>
          <w:rFonts w:ascii="Arial" w:hAnsi="Arial" w:cs="Arial"/>
          <w:vanish/>
          <w:specVanish/>
        </w:rPr>
      </w:pPr>
      <w:bookmarkStart w:name="_Toc138350382" w:id="250"/>
      <w:bookmarkStart w:name="_Toc143607228" w:id="251"/>
      <w:bookmarkStart w:name="_Toc181639437" w:id="252"/>
      <w:bookmarkStart w:name="_Toc214644757" w:id="253"/>
      <w:r>
        <w:rPr>
          <w:rFonts w:ascii="Arial" w:hAnsi="Arial" w:cs="Arial"/>
        </w:rPr>
        <w:t>Authorization; Enforceability.</w:t>
      </w:r>
      <w:bookmarkEnd w:id="250"/>
      <w:bookmarkEnd w:id="251"/>
      <w:bookmarkEnd w:id="252"/>
      <w:bookmarkEnd w:id="253"/>
    </w:p>
    <w:p w:rsidRPr="00C83DF3" w:rsidR="0029492C" w:rsidP="00B71D5E" w:rsidRDefault="0029492C" w14:paraId="4CFF62F9" w14:textId="77777777">
      <w:pPr>
        <w:pStyle w:val="zGNormal"/>
        <w:spacing w:after="120"/>
      </w:pPr>
      <w:r>
        <w:t xml:space="preserve"> GPC has full corporate power and authority to enter into this APA and the other Transaction Documents to which it is or will be a party, to perform its obligations under this APA and the other Transaction Documents to which it is or will be a party, and to consummate the transactions contemplated by this APA and the other Transaction Documents to which it is or will be a party. The execution, delivery and performance by GPC of this APA and the consummation by GPC of the transactions contemplated by this APA have been duly authorized by all necessary corporate action on the part of GPC. This APA and the other Transaction Documents to which it is or will be a party: (i) have been (or will be when delivered) duly and validly executed and delivered by GPC; and (ii) constitute (or will constitute when delivered) (assuming the due execution and delivery thereof by Seller or its Affiliates, as applicable) valid and legally binding obligations of GPC, enforceable against GPC in accordance with their terms, subject to the Remedies Exception.</w:t>
      </w:r>
    </w:p>
    <w:p w:rsidRPr="00C83DF3" w:rsidR="0029492C" w:rsidP="00B71D5E" w:rsidRDefault="0029492C" w14:paraId="7C84C8DD" w14:textId="77777777">
      <w:pPr>
        <w:pStyle w:val="zGTC02"/>
        <w:rPr>
          <w:rFonts w:ascii="Arial" w:hAnsi="Arial" w:cs="Arial"/>
          <w:vanish/>
          <w:specVanish/>
        </w:rPr>
      </w:pPr>
      <w:bookmarkStart w:name="_Toc138350383" w:id="254"/>
      <w:bookmarkStart w:name="_Toc143607229" w:id="255"/>
      <w:bookmarkStart w:name="_Toc181639438" w:id="256"/>
      <w:bookmarkStart w:name="_Toc214644758" w:id="257"/>
      <w:r>
        <w:rPr>
          <w:rFonts w:ascii="Arial" w:hAnsi="Arial" w:cs="Arial"/>
        </w:rPr>
        <w:t>No Conflicts.</w:t>
      </w:r>
      <w:bookmarkEnd w:id="254"/>
      <w:bookmarkEnd w:id="255"/>
      <w:bookmarkEnd w:id="256"/>
      <w:bookmarkEnd w:id="257"/>
    </w:p>
    <w:p w:rsidRPr="00C83DF3" w:rsidR="0029492C" w:rsidP="00B71D5E" w:rsidRDefault="0029492C" w14:paraId="0D1AC165" w14:textId="09108D47">
      <w:pPr>
        <w:pStyle w:val="zGNormal"/>
        <w:spacing w:after="120"/>
      </w:pPr>
      <w:r>
        <w:t xml:space="preserve"> The execution, delivery, and performance by GPC of this APA and the other Transaction Documents to which it is or will be a party does not, and the consummation by GPC of the transactions contemplated by this APA and the other Transaction Documents to which it is or will be a party will not: (i) contravene or violate any provision of the Organizational Documents of GPC; (ii) subject to obtaining the Commission Certificate and the FERC Approval and, if filing of a pre-merger notification under the HSR Act is </w:t>
      </w:r>
      <w:r>
        <w:lastRenderedPageBreak/>
        <w:t xml:space="preserve">required, subject to the expiration or earlier termination of the applicable waiting period under the HSR Act (including any extensions thereof), conflict with or result in a violation or breach of any term or provision of any law applicable to GPC; or (iii) contravene or violate any provision of, or result in the termination or acceleration of, or entitle any party to accelerate any obligation or Indebtedness under, or require the </w:t>
      </w:r>
      <w:r w:rsidR="00DC6806">
        <w:t>c</w:t>
      </w:r>
      <w:r>
        <w:t>onsent of any Person under, or give any person the right to terminate or modify, any Contract or Permit to which GPC is a party or by which it is bound, except, in the case of clause (iii), as would not, individually or in the aggregate, reasonably be expected to have a GPC Material Adverse Effect.</w:t>
      </w:r>
    </w:p>
    <w:p w:rsidRPr="00C83DF3" w:rsidR="0029492C" w:rsidP="00B71D5E" w:rsidRDefault="0029492C" w14:paraId="567A03F3" w14:textId="77777777">
      <w:pPr>
        <w:pStyle w:val="zGTC02"/>
        <w:rPr>
          <w:rFonts w:ascii="Arial" w:hAnsi="Arial" w:cs="Arial"/>
          <w:vanish/>
          <w:specVanish/>
        </w:rPr>
      </w:pPr>
      <w:bookmarkStart w:name="_Toc138350384" w:id="258"/>
      <w:bookmarkStart w:name="_Toc143607230" w:id="259"/>
      <w:bookmarkStart w:name="_Toc181639439" w:id="260"/>
      <w:bookmarkStart w:name="_Toc214644759" w:id="261"/>
      <w:r>
        <w:rPr>
          <w:rFonts w:ascii="Arial" w:hAnsi="Arial" w:cs="Arial"/>
        </w:rPr>
        <w:t>Governmental Consents.</w:t>
      </w:r>
      <w:bookmarkEnd w:id="258"/>
      <w:bookmarkEnd w:id="259"/>
      <w:bookmarkEnd w:id="260"/>
      <w:bookmarkEnd w:id="261"/>
    </w:p>
    <w:p w:rsidRPr="00C83DF3" w:rsidR="0029492C" w:rsidP="00B71D5E" w:rsidRDefault="0029492C" w14:paraId="21F66D53" w14:textId="5B088195">
      <w:pPr>
        <w:pStyle w:val="zGNormal"/>
        <w:spacing w:after="120"/>
      </w:pPr>
      <w:r>
        <w:t xml:space="preserve"> Other than the Commission Certificate, the FERC Approval, the FCC Approval, and any Consent required under the HSR Act, no Consent is required to be made or obtained by GPC for or in connection with the execution, delivery, and performance by GPC of this APA and the other Transaction Documents to which it is or will be a party, or the consummation by GPC of the transactions contemplated by this APA or the other Transaction Documents to which it is or will be a party.</w:t>
      </w:r>
    </w:p>
    <w:p w:rsidRPr="00C83DF3" w:rsidR="0029492C" w:rsidP="00B71D5E" w:rsidRDefault="0029492C" w14:paraId="05CCE026" w14:textId="77777777">
      <w:pPr>
        <w:pStyle w:val="zGTC02"/>
        <w:rPr>
          <w:rFonts w:ascii="Arial" w:hAnsi="Arial" w:cs="Arial"/>
          <w:vanish/>
          <w:specVanish/>
        </w:rPr>
      </w:pPr>
      <w:bookmarkStart w:name="_Toc138350385" w:id="262"/>
      <w:bookmarkStart w:name="_Toc143607231" w:id="263"/>
      <w:bookmarkStart w:name="_Toc181639440" w:id="264"/>
      <w:bookmarkStart w:name="_Toc214644760" w:id="265"/>
      <w:r>
        <w:rPr>
          <w:rFonts w:ascii="Arial" w:hAnsi="Arial" w:cs="Arial"/>
        </w:rPr>
        <w:t>Compliance with Laws.</w:t>
      </w:r>
      <w:bookmarkEnd w:id="262"/>
      <w:bookmarkEnd w:id="263"/>
      <w:bookmarkEnd w:id="264"/>
      <w:bookmarkEnd w:id="265"/>
    </w:p>
    <w:p w:rsidRPr="00C83DF3" w:rsidR="0029492C" w:rsidP="00B71D5E" w:rsidRDefault="0029492C" w14:paraId="1FBFC0DD" w14:textId="77777777">
      <w:pPr>
        <w:pStyle w:val="zGNormal"/>
        <w:spacing w:after="120"/>
      </w:pPr>
      <w:r>
        <w:t xml:space="preserve"> GPC is not in violation of any applicable law, except for violations that would not, individually or in the aggregate, reasonably be expected to have a GPC Material Adverse Effect.</w:t>
      </w:r>
    </w:p>
    <w:p w:rsidRPr="00C83DF3" w:rsidR="0029492C" w:rsidP="00B71D5E" w:rsidRDefault="0029492C" w14:paraId="1A569476" w14:textId="77777777">
      <w:pPr>
        <w:pStyle w:val="zGTC02"/>
        <w:rPr>
          <w:rFonts w:ascii="Arial" w:hAnsi="Arial" w:cs="Arial"/>
          <w:vanish/>
          <w:specVanish/>
        </w:rPr>
      </w:pPr>
      <w:bookmarkStart w:name="_Toc138350386" w:id="266"/>
      <w:bookmarkStart w:name="_Toc143607232" w:id="267"/>
      <w:bookmarkStart w:name="_Toc181639441" w:id="268"/>
      <w:bookmarkStart w:name="_Toc214644761" w:id="269"/>
      <w:r>
        <w:rPr>
          <w:rFonts w:ascii="Arial" w:hAnsi="Arial" w:cs="Arial"/>
        </w:rPr>
        <w:t>Legal Proceedings.</w:t>
      </w:r>
      <w:bookmarkEnd w:id="266"/>
      <w:bookmarkEnd w:id="267"/>
      <w:bookmarkEnd w:id="268"/>
      <w:bookmarkEnd w:id="269"/>
    </w:p>
    <w:p w:rsidRPr="00C83DF3" w:rsidR="0029492C" w:rsidP="00B71D5E" w:rsidRDefault="0029492C" w14:paraId="068A32DC" w14:textId="07845609">
      <w:pPr>
        <w:pStyle w:val="zGNormal"/>
        <w:spacing w:after="120"/>
      </w:pPr>
      <w:r>
        <w:t xml:space="preserve"> </w:t>
      </w:r>
      <w:bookmarkStart w:name="_Hlk142981143" w:id="270"/>
      <w:r>
        <w:t xml:space="preserve">Except as would not, individually or in the aggregate, reasonably be expected to have a GPC Material Adverse Effect, as of the </w:t>
      </w:r>
      <w:r w:rsidR="00DB7F24">
        <w:t>Effective Date</w:t>
      </w:r>
      <w:r>
        <w:t>: (a) there is no Action pending or, to Buyer’s Knowledge, threatened against GPC or otherwise affecting any of its assets or properties before any Governmental Authority; and (b) neither GPC nor any of its assets or properties is subject to any Order</w:t>
      </w:r>
      <w:bookmarkEnd w:id="270"/>
      <w:r>
        <w:t>.</w:t>
      </w:r>
    </w:p>
    <w:p w:rsidRPr="00C83DF3" w:rsidR="0029492C" w:rsidP="00B71D5E" w:rsidRDefault="0029492C" w14:paraId="7ECDDA0A" w14:textId="77777777">
      <w:pPr>
        <w:pStyle w:val="zGTC02"/>
        <w:rPr>
          <w:rFonts w:ascii="Arial" w:hAnsi="Arial" w:cs="Arial"/>
          <w:vanish/>
          <w:specVanish/>
        </w:rPr>
      </w:pPr>
      <w:bookmarkStart w:name="_Toc138350387" w:id="271"/>
      <w:bookmarkStart w:name="_Toc143607233" w:id="272"/>
      <w:bookmarkStart w:name="_Toc181639442" w:id="273"/>
      <w:bookmarkStart w:name="_Toc214644762" w:id="274"/>
      <w:r>
        <w:rPr>
          <w:rFonts w:ascii="Arial" w:hAnsi="Arial" w:cs="Arial"/>
        </w:rPr>
        <w:t>Brokers.</w:t>
      </w:r>
      <w:bookmarkEnd w:id="271"/>
      <w:bookmarkEnd w:id="272"/>
      <w:bookmarkEnd w:id="273"/>
      <w:bookmarkEnd w:id="274"/>
    </w:p>
    <w:p w:rsidRPr="00C83DF3" w:rsidR="0029492C" w:rsidP="00B71D5E" w:rsidRDefault="0029492C" w14:paraId="3A32B3B6" w14:textId="77777777">
      <w:pPr>
        <w:pStyle w:val="zGNormal"/>
        <w:spacing w:after="120"/>
      </w:pPr>
      <w:r>
        <w:t xml:space="preserve"> Neither GPC nor any of its Affiliates has any Liability or obligation to pay fees or commissions to any broker, finder, or agent with respect to the transactions contemplated by this APA for which Seller or its Affiliates could become liable or obliged.</w:t>
      </w:r>
    </w:p>
    <w:p w:rsidRPr="00C83DF3" w:rsidR="0029492C" w:rsidP="00B71D5E" w:rsidRDefault="0029492C" w14:paraId="46250D2E" w14:textId="77777777">
      <w:pPr>
        <w:pStyle w:val="zGTC02"/>
        <w:rPr>
          <w:rFonts w:ascii="Arial" w:hAnsi="Arial" w:cs="Arial"/>
          <w:vanish/>
          <w:specVanish/>
        </w:rPr>
      </w:pPr>
      <w:bookmarkStart w:name="_Toc138350388" w:id="275"/>
      <w:bookmarkStart w:name="_Toc143607234" w:id="276"/>
      <w:bookmarkStart w:name="_Toc181639443" w:id="277"/>
      <w:bookmarkStart w:name="_Toc214644763" w:id="278"/>
      <w:r>
        <w:rPr>
          <w:rFonts w:ascii="Arial" w:hAnsi="Arial" w:cs="Arial"/>
        </w:rPr>
        <w:t>Available Funds.</w:t>
      </w:r>
      <w:bookmarkEnd w:id="275"/>
      <w:bookmarkEnd w:id="276"/>
      <w:bookmarkEnd w:id="277"/>
      <w:bookmarkEnd w:id="278"/>
    </w:p>
    <w:p w:rsidR="00BD681B" w:rsidP="00B71D5E" w:rsidRDefault="0029492C" w14:paraId="1677832B" w14:textId="77777777">
      <w:pPr>
        <w:pStyle w:val="zGNormal"/>
        <w:spacing w:after="120"/>
      </w:pPr>
      <w:r>
        <w:t xml:space="preserve"> At the Closing, GPC will have all immediately available funds necessary for its payment in cash of the Purchase Price, and the satisfaction of all of GPC’s obligations under this APA. GPC acknowledges and agrees that the receipt or availability of funds or financing by GPC or any of its Affiliates will not be a condition to GPC’s obligations under this APA. To GPC’s Knowledge, no funds to be paid to Seller have been derived or will have been derived from, or constitute, either directly or indirectly, proceeds of any criminal activity under any applicable anti-money laundering laws.</w:t>
      </w:r>
    </w:p>
    <w:p w:rsidRPr="00C83DF3" w:rsidR="0054690C" w:rsidP="00EC532C" w:rsidRDefault="00901064" w14:paraId="01EFB9DA" w14:textId="77777777">
      <w:pPr>
        <w:pStyle w:val="zGTC02"/>
        <w:numPr>
          <w:ilvl w:val="1"/>
          <w:numId w:val="1"/>
        </w:numPr>
        <w:rPr>
          <w:rFonts w:ascii="Arial" w:hAnsi="Arial" w:cs="Arial"/>
          <w:vanish/>
          <w:specVanish/>
        </w:rPr>
      </w:pPr>
      <w:bookmarkStart w:name="_Toc181639444" w:id="279"/>
      <w:bookmarkStart w:name="_Toc214644764" w:id="280"/>
      <w:r>
        <w:t>Non-Reliance.</w:t>
      </w:r>
      <w:bookmarkEnd w:id="279"/>
      <w:bookmarkEnd w:id="280"/>
    </w:p>
    <w:p w:rsidRPr="00C83DF3" w:rsidR="00A1597F" w:rsidP="0054690C" w:rsidRDefault="0054690C" w14:paraId="64B9A0A2" w14:textId="1ADE0D97">
      <w:pPr>
        <w:pStyle w:val="zGNormal"/>
        <w:rPr>
          <w:specVanish/>
        </w:rPr>
      </w:pPr>
      <w:r>
        <w:t xml:space="preserve"> </w:t>
      </w:r>
      <w:bookmarkStart w:name="_Toc75261169" w:id="281"/>
      <w:r>
        <w:t>GPC acknowledges that, in entering into this APA and agreeing to proceed with the Closing, it has relied solely on: (i) Seller’s representations and warranties set forth in Part 3 (</w:t>
      </w:r>
      <w:r>
        <w:rPr>
          <w:i/>
          <w:iCs/>
        </w:rPr>
        <w:t>Representations and Warranties of Seller</w:t>
      </w:r>
      <w:r>
        <w:t>) (as modified by the Seller Disclosure Schedule); and (ii) the results of GPC’s own investigation, review, and analysis</w:t>
      </w:r>
      <w:bookmarkEnd w:id="281"/>
      <w:r>
        <w:t xml:space="preserve">. Despite the preceding sentence, </w:t>
      </w:r>
      <w:proofErr w:type="gramStart"/>
      <w:r>
        <w:t>this Section</w:t>
      </w:r>
      <w:proofErr w:type="gramEnd"/>
      <w:r>
        <w:t xml:space="preserve"> 4.9 (</w:t>
      </w:r>
      <w:r w:rsidR="002D77E2">
        <w:rPr>
          <w:i/>
          <w:iCs/>
        </w:rPr>
        <w:t>Non-Reliance</w:t>
      </w:r>
      <w:r>
        <w:t>) will not preclude GPC from asserting any claim for fraud.</w:t>
      </w:r>
    </w:p>
    <w:p w:rsidRPr="00C83DF3" w:rsidR="0029492C" w:rsidP="00A1597F" w:rsidRDefault="002237FD" w14:paraId="405448C9" w14:textId="77777777">
      <w:pPr>
        <w:pStyle w:val="zGNormal"/>
      </w:pPr>
      <w:r>
        <w:t xml:space="preserve">  </w:t>
      </w:r>
    </w:p>
    <w:p w:rsidRPr="00C83DF3" w:rsidR="0029492C" w:rsidP="00026F29" w:rsidRDefault="0029492C" w14:paraId="7C792101" w14:textId="77777777">
      <w:pPr>
        <w:pStyle w:val="zGTC01"/>
        <w:keepNext w:val="0"/>
        <w:spacing w:before="120"/>
        <w:rPr>
          <w:rFonts w:ascii="Arial" w:hAnsi="Arial"/>
        </w:rPr>
      </w:pPr>
      <w:bookmarkStart w:name="_Toc138350389" w:id="282"/>
      <w:bookmarkStart w:name="_Toc143607235" w:id="283"/>
      <w:bookmarkStart w:name="_Toc143607304" w:id="284"/>
      <w:bookmarkStart w:name="_Toc181639445" w:id="285"/>
      <w:bookmarkStart w:name="_Toc214644765" w:id="286"/>
      <w:r>
        <w:rPr>
          <w:rFonts w:ascii="Arial" w:hAnsi="Arial"/>
        </w:rPr>
        <w:t>General Covenants</w:t>
      </w:r>
      <w:bookmarkEnd w:id="282"/>
      <w:bookmarkEnd w:id="283"/>
      <w:bookmarkEnd w:id="284"/>
      <w:bookmarkEnd w:id="285"/>
      <w:bookmarkEnd w:id="286"/>
    </w:p>
    <w:p w:rsidRPr="00C83DF3" w:rsidR="0029492C" w:rsidP="00026F29" w:rsidRDefault="0029492C" w14:paraId="4DF42956" w14:textId="77777777">
      <w:pPr>
        <w:pStyle w:val="zGTC02"/>
        <w:rPr>
          <w:rFonts w:ascii="Arial" w:hAnsi="Arial" w:cs="Arial"/>
        </w:rPr>
      </w:pPr>
      <w:bookmarkStart w:name="_Toc138350390" w:id="287"/>
      <w:bookmarkStart w:name="_Toc143607236" w:id="288"/>
      <w:bookmarkStart w:name="_Toc181639446" w:id="289"/>
      <w:bookmarkStart w:name="_Toc214644766" w:id="290"/>
      <w:r>
        <w:rPr>
          <w:rFonts w:ascii="Arial" w:hAnsi="Arial" w:cs="Arial"/>
        </w:rPr>
        <w:t>Consents; Regulatory Approvals.</w:t>
      </w:r>
      <w:bookmarkEnd w:id="287"/>
      <w:bookmarkEnd w:id="288"/>
      <w:bookmarkEnd w:id="289"/>
      <w:bookmarkEnd w:id="290"/>
    </w:p>
    <w:p w:rsidRPr="00C83DF3" w:rsidR="0029492C" w:rsidP="00026F29" w:rsidRDefault="002723CF" w14:paraId="2AE29964" w14:textId="49BD8436">
      <w:pPr>
        <w:pStyle w:val="zGTC03"/>
        <w:rPr>
          <w:rFonts w:cs="Arial"/>
        </w:rPr>
      </w:pPr>
      <w:r>
        <w:rPr>
          <w:rFonts w:cs="Arial"/>
          <w:b/>
          <w:bCs/>
        </w:rPr>
        <w:t>Consents.</w:t>
      </w:r>
      <w:r>
        <w:rPr>
          <w:rFonts w:cs="Arial"/>
        </w:rPr>
        <w:t xml:space="preserve"> During the Interim Period: (i) Seller will (and will cause its Affiliates to) use commercially reasonable efforts to obtain or make all </w:t>
      </w:r>
      <w:r w:rsidR="00F3046B">
        <w:rPr>
          <w:rFonts w:cs="Arial"/>
        </w:rPr>
        <w:t>c</w:t>
      </w:r>
      <w:r>
        <w:rPr>
          <w:rFonts w:cs="Arial"/>
        </w:rPr>
        <w:t>onsents of or with any Person (other than any Governmental Authority) under any Facility Contract necessary to allow the Parties to consummate, as promptly as practicable (but no later than the Outside Date), the transactions contemplated by this APA and the other Transaction Documents; and (ii) GPC will (and will cause its Affiliates to) use commercially reasonable efforts to: (a) cooperate with Seller and its Affiliates in their efforts to obtain the</w:t>
      </w:r>
      <w:r w:rsidR="00203DEE">
        <w:rPr>
          <w:rFonts w:cs="Arial"/>
        </w:rPr>
        <w:t xml:space="preserve"> c</w:t>
      </w:r>
      <w:r>
        <w:rPr>
          <w:rFonts w:cs="Arial"/>
        </w:rPr>
        <w:t xml:space="preserve">onsents in subpart (i); and (b) obtain or make all </w:t>
      </w:r>
      <w:r w:rsidR="00203DEE">
        <w:rPr>
          <w:rFonts w:cs="Arial"/>
        </w:rPr>
        <w:t>c</w:t>
      </w:r>
      <w:r>
        <w:rPr>
          <w:rFonts w:cs="Arial"/>
        </w:rPr>
        <w:t>onsents of or with any Person (other than any Governmental Authority) under any material Contract to which GPC is a party necessary to allow the Parties to consummate, as promptly as practicable (but no later than the Outside Date), the transactions contemplated by this APA and the other Transaction Documents; except that the efforts will not include any requirement or obligation on the part of any Party to make any payment or assume any Liability not otherwise required to be paid or assumed by the terms of an existing Contract or offer or grant any financial accommodation or other benefit not otherwise required to be made by the terms of an existing Contract.</w:t>
      </w:r>
    </w:p>
    <w:p w:rsidRPr="00C83DF3" w:rsidR="00824C5B" w:rsidP="00B71D5E" w:rsidRDefault="002723CF" w14:paraId="5223604D" w14:textId="051E9B28">
      <w:pPr>
        <w:pStyle w:val="zGTC03"/>
        <w:rPr>
          <w:rFonts w:cs="Arial"/>
        </w:rPr>
      </w:pPr>
      <w:r>
        <w:rPr>
          <w:rFonts w:cs="Arial"/>
          <w:b/>
          <w:bCs/>
          <w:szCs w:val="20"/>
        </w:rPr>
        <w:t>Regulatory Approvals.</w:t>
      </w:r>
      <w:r>
        <w:rPr>
          <w:rFonts w:cs="Arial"/>
          <w:szCs w:val="20"/>
        </w:rPr>
        <w:t xml:space="preserve"> Each Party will, and will cause its respective Affiliates to, prepare, as soon as is reasonably practicable following the </w:t>
      </w:r>
      <w:r w:rsidR="00B25D27">
        <w:rPr>
          <w:rFonts w:cs="Arial"/>
          <w:szCs w:val="20"/>
        </w:rPr>
        <w:t>Effective Date</w:t>
      </w:r>
      <w:r>
        <w:rPr>
          <w:rFonts w:cs="Arial"/>
          <w:szCs w:val="20"/>
        </w:rPr>
        <w:t xml:space="preserve"> and in accordance with Section 5.1.4 (</w:t>
      </w:r>
      <w:r>
        <w:rPr>
          <w:rFonts w:cs="Arial"/>
          <w:i/>
          <w:iCs/>
          <w:szCs w:val="20"/>
        </w:rPr>
        <w:t>Filings with Governmental Authorities Generally</w:t>
      </w:r>
      <w:r>
        <w:rPr>
          <w:rFonts w:cs="Arial"/>
          <w:szCs w:val="20"/>
        </w:rPr>
        <w:t>) and Section 6.1.3(iii) (</w:t>
      </w:r>
      <w:r>
        <w:rPr>
          <w:rFonts w:cs="Arial"/>
          <w:i/>
          <w:iCs/>
          <w:szCs w:val="20"/>
        </w:rPr>
        <w:t>Governmental Approvals; Consents</w:t>
      </w:r>
      <w:r>
        <w:rPr>
          <w:rFonts w:cs="Arial"/>
          <w:szCs w:val="20"/>
        </w:rPr>
        <w:t xml:space="preserve">), all filings required under any applicable </w:t>
      </w:r>
      <w:r>
        <w:t>law</w:t>
      </w:r>
      <w:r>
        <w:rPr>
          <w:rFonts w:cs="Arial"/>
          <w:szCs w:val="20"/>
        </w:rPr>
        <w:t xml:space="preserve"> to be made by it or its Affiliates with any Governmental </w:t>
      </w:r>
      <w:r>
        <w:rPr>
          <w:rFonts w:cs="Arial"/>
        </w:rPr>
        <w:t>Authority</w:t>
      </w:r>
      <w:r>
        <w:rPr>
          <w:rFonts w:cs="Arial"/>
          <w:szCs w:val="20"/>
        </w:rPr>
        <w:t xml:space="preserve"> in connection with the transactions contemplated by this APA </w:t>
      </w:r>
      <w:r w:rsidR="0090318B">
        <w:rPr>
          <w:rFonts w:cs="Arial"/>
          <w:szCs w:val="20"/>
        </w:rPr>
        <w:t>before</w:t>
      </w:r>
      <w:r>
        <w:rPr>
          <w:rFonts w:cs="Arial"/>
          <w:szCs w:val="20"/>
        </w:rPr>
        <w:t xml:space="preserve"> the Closing Date. Each Party will, and will cause its respective Affiliates to, submit the required filings as soon as reasonably practicable </w:t>
      </w:r>
      <w:r>
        <w:rPr>
          <w:rFonts w:cs="Arial"/>
          <w:szCs w:val="20"/>
        </w:rPr>
        <w:lastRenderedPageBreak/>
        <w:t xml:space="preserve">after the </w:t>
      </w:r>
      <w:r w:rsidR="00DB7F24">
        <w:rPr>
          <w:rFonts w:cs="Arial"/>
          <w:szCs w:val="20"/>
        </w:rPr>
        <w:t>Effective Date</w:t>
      </w:r>
      <w:r>
        <w:rPr>
          <w:rFonts w:cs="Arial"/>
          <w:szCs w:val="20"/>
        </w:rPr>
        <w:t xml:space="preserve"> and in accordance with Section 5.1.4 and Section 6.1.3(iii). The Parties will, and will cause their respective Affiliates to, promptly make any appropriate or necessary subsequent or supplemental filings and cooperate with one another in the preparation of the filings in the manner as is reasonably necessary and appropriate. Subject to the provisions of Section 5.1.4 and Section 6.1.3(iii), the Parties will consult with one another and agree in good faith upon the timing of the filings.</w:t>
      </w:r>
    </w:p>
    <w:p w:rsidRPr="00C83DF3" w:rsidR="0029492C" w:rsidP="00B71D5E" w:rsidRDefault="00252447" w14:paraId="3232550C" w14:textId="7797CC03">
      <w:pPr>
        <w:pStyle w:val="zGTC03"/>
        <w:rPr>
          <w:rFonts w:cs="Arial"/>
        </w:rPr>
      </w:pPr>
      <w:r>
        <w:rPr>
          <w:rFonts w:cs="Arial"/>
          <w:b/>
          <w:bCs/>
          <w:szCs w:val="20"/>
        </w:rPr>
        <w:t>Communications.</w:t>
      </w:r>
      <w:r>
        <w:rPr>
          <w:rFonts w:cs="Arial"/>
          <w:szCs w:val="20"/>
        </w:rPr>
        <w:t xml:space="preserve"> Each Party will notify the other Party promptly upon the receipt by the Party or its Affiliates of: (i) any material comments or questions from any officials of any Governmental </w:t>
      </w:r>
      <w:r>
        <w:rPr>
          <w:rFonts w:cs="Arial"/>
        </w:rPr>
        <w:t>Authority</w:t>
      </w:r>
      <w:r>
        <w:rPr>
          <w:rFonts w:cs="Arial"/>
          <w:szCs w:val="20"/>
        </w:rPr>
        <w:t xml:space="preserve"> in connection with any filings made pursuant to this Section 5.1 (</w:t>
      </w:r>
      <w:r>
        <w:rPr>
          <w:rFonts w:cs="Arial"/>
          <w:i/>
          <w:iCs/>
          <w:szCs w:val="20"/>
        </w:rPr>
        <w:t>Consents; Regulatory Approvals</w:t>
      </w:r>
      <w:r>
        <w:rPr>
          <w:rFonts w:cs="Arial"/>
          <w:szCs w:val="20"/>
        </w:rPr>
        <w:t xml:space="preserve">) or the transactions contemplated by this APA; and (ii) any request by any officials of any Governmental </w:t>
      </w:r>
      <w:r>
        <w:rPr>
          <w:rFonts w:cs="Arial"/>
        </w:rPr>
        <w:t>Authority</w:t>
      </w:r>
      <w:r>
        <w:rPr>
          <w:rFonts w:cs="Arial"/>
          <w:szCs w:val="20"/>
        </w:rPr>
        <w:t xml:space="preserve"> for amendments or supplements to any filings made pursuant to any applicable </w:t>
      </w:r>
      <w:r>
        <w:t>law</w:t>
      </w:r>
      <w:r>
        <w:rPr>
          <w:rFonts w:cs="Arial"/>
          <w:szCs w:val="20"/>
        </w:rPr>
        <w:t xml:space="preserve">s or answers to any questions, or the production of any documents, relating to an investigation of the transactions contemplated by this APA by any Governmental </w:t>
      </w:r>
      <w:r>
        <w:rPr>
          <w:rFonts w:cs="Arial"/>
        </w:rPr>
        <w:t>Authority</w:t>
      </w:r>
      <w:r>
        <w:rPr>
          <w:rFonts w:cs="Arial"/>
          <w:szCs w:val="20"/>
        </w:rPr>
        <w:t>. Whenever any event occurs that is required to be set forth in an amendment or supplement to any filing made pursuant to this Section 5.1 (</w:t>
      </w:r>
      <w:r>
        <w:rPr>
          <w:rFonts w:cs="Arial"/>
          <w:i/>
          <w:iCs/>
          <w:szCs w:val="20"/>
        </w:rPr>
        <w:t>Consents; Regulatory Approvals</w:t>
      </w:r>
      <w:r>
        <w:rPr>
          <w:rFonts w:cs="Arial"/>
          <w:szCs w:val="20"/>
        </w:rPr>
        <w:t xml:space="preserve">), each Party will promptly inform the other Party of the occurrence, and the Parties will reasonably cooperate in filing promptly with the applicable Governmental </w:t>
      </w:r>
      <w:r>
        <w:rPr>
          <w:rFonts w:cs="Arial"/>
        </w:rPr>
        <w:t>Authority</w:t>
      </w:r>
      <w:r>
        <w:rPr>
          <w:rFonts w:cs="Arial"/>
          <w:szCs w:val="20"/>
        </w:rPr>
        <w:t xml:space="preserve"> the amendment or supplement. Without limiting the foregoing, each Party will provide to the other Party (or its counsel), upon request, copies of all material correspondence between the Party and any Governmental </w:t>
      </w:r>
      <w:r>
        <w:rPr>
          <w:rFonts w:cs="Arial"/>
        </w:rPr>
        <w:t>Authority</w:t>
      </w:r>
      <w:r>
        <w:rPr>
          <w:rFonts w:cs="Arial"/>
          <w:szCs w:val="20"/>
        </w:rPr>
        <w:t xml:space="preserve"> relating to the transactions contemplated by this APA or the other Transaction Documents. In addition, to the extent reasonably practicable, all discussions, telephone calls, and meetings with any Governmental </w:t>
      </w:r>
      <w:r>
        <w:rPr>
          <w:rFonts w:cs="Arial"/>
        </w:rPr>
        <w:t>Authority</w:t>
      </w:r>
      <w:r>
        <w:rPr>
          <w:rFonts w:cs="Arial"/>
          <w:szCs w:val="20"/>
        </w:rPr>
        <w:t xml:space="preserve"> regarding the transactions contemplated by this APA will include representatives of both GPC and Seller. Subject to applicable </w:t>
      </w:r>
      <w:r>
        <w:t>law</w:t>
      </w:r>
      <w:r>
        <w:rPr>
          <w:rFonts w:cs="Arial"/>
          <w:szCs w:val="20"/>
        </w:rPr>
        <w:t xml:space="preserve">, the Parties will consult and cooperate with each other in connection with any analyses, appearances, presentations, memoranda, briefs, arguments, and proposals made or submitted to any Governmental </w:t>
      </w:r>
      <w:r>
        <w:rPr>
          <w:rFonts w:cs="Arial"/>
        </w:rPr>
        <w:t>Authority</w:t>
      </w:r>
      <w:r>
        <w:rPr>
          <w:rFonts w:cs="Arial"/>
          <w:szCs w:val="20"/>
        </w:rPr>
        <w:t xml:space="preserve"> regarding the transactions contemplated by this APA or the other Transaction Documents by or on behalf of any Party. The provisions of this Section 5.1.3 (</w:t>
      </w:r>
      <w:r>
        <w:rPr>
          <w:rFonts w:cs="Arial"/>
          <w:i/>
          <w:iCs/>
          <w:szCs w:val="20"/>
        </w:rPr>
        <w:t>Communications</w:t>
      </w:r>
      <w:r>
        <w:rPr>
          <w:rFonts w:cs="Arial"/>
          <w:szCs w:val="20"/>
        </w:rPr>
        <w:t>) are subject to the limitations set forth in Section 5.1.5 (</w:t>
      </w:r>
      <w:r>
        <w:rPr>
          <w:rFonts w:cs="Arial"/>
          <w:i/>
          <w:iCs/>
          <w:szCs w:val="20"/>
        </w:rPr>
        <w:t>Limitations</w:t>
      </w:r>
      <w:r>
        <w:rPr>
          <w:rFonts w:cs="Arial"/>
          <w:szCs w:val="20"/>
        </w:rPr>
        <w:t>)</w:t>
      </w:r>
      <w:r w:rsidR="007526DC">
        <w:rPr>
          <w:rFonts w:cs="Arial"/>
          <w:szCs w:val="20"/>
        </w:rPr>
        <w:t xml:space="preserve"> and</w:t>
      </w:r>
      <w:r>
        <w:rPr>
          <w:rFonts w:cs="Arial"/>
          <w:szCs w:val="20"/>
        </w:rPr>
        <w:t xml:space="preserve"> Section 6.1.3 (</w:t>
      </w:r>
      <w:r>
        <w:rPr>
          <w:rFonts w:cs="Arial"/>
          <w:i/>
          <w:iCs/>
          <w:szCs w:val="20"/>
        </w:rPr>
        <w:t>Government Approvals; Consents</w:t>
      </w:r>
      <w:r>
        <w:rPr>
          <w:rFonts w:cs="Arial"/>
          <w:szCs w:val="20"/>
        </w:rPr>
        <w:t xml:space="preserve">), </w:t>
      </w:r>
      <w:r w:rsidR="007526DC">
        <w:rPr>
          <w:rFonts w:cs="Arial"/>
          <w:szCs w:val="20"/>
        </w:rPr>
        <w:t>including</w:t>
      </w:r>
      <w:r>
        <w:rPr>
          <w:rFonts w:cs="Arial"/>
          <w:szCs w:val="20"/>
        </w:rPr>
        <w:t xml:space="preserve"> Section 6.1.3(vi) (</w:t>
      </w:r>
      <w:r>
        <w:rPr>
          <w:rFonts w:cs="Arial"/>
          <w:i/>
          <w:iCs/>
          <w:szCs w:val="20"/>
        </w:rPr>
        <w:t>Burdensome Conditions</w:t>
      </w:r>
      <w:r>
        <w:rPr>
          <w:rFonts w:cs="Arial"/>
          <w:szCs w:val="20"/>
        </w:rPr>
        <w:t>).</w:t>
      </w:r>
    </w:p>
    <w:p w:rsidRPr="00B71D5E" w:rsidR="0029492C" w:rsidP="00B71D5E" w:rsidRDefault="00252447" w14:paraId="4FF5767D" w14:textId="4FC4113A">
      <w:pPr>
        <w:pStyle w:val="zGTC03"/>
        <w:rPr>
          <w:rFonts w:cs="Arial"/>
        </w:rPr>
      </w:pPr>
      <w:r>
        <w:rPr>
          <w:rFonts w:cs="Arial"/>
          <w:b/>
        </w:rPr>
        <w:t>Filings with Governmental Authorities Generally</w:t>
      </w:r>
      <w:r>
        <w:rPr>
          <w:rFonts w:cs="Arial"/>
          <w:b/>
          <w:bCs/>
        </w:rPr>
        <w:t>.</w:t>
      </w:r>
      <w:r>
        <w:rPr>
          <w:rFonts w:cs="Arial"/>
        </w:rPr>
        <w:t xml:space="preserve"> Each Party will, and will cause its Affiliates to take </w:t>
      </w:r>
      <w:r>
        <w:rPr>
          <w:rFonts w:cs="Arial"/>
          <w:szCs w:val="20"/>
        </w:rPr>
        <w:t>in accordance with this Section 5.1.4 (</w:t>
      </w:r>
      <w:r>
        <w:rPr>
          <w:rFonts w:cs="Arial"/>
          <w:i/>
          <w:iCs/>
          <w:szCs w:val="20"/>
        </w:rPr>
        <w:t>Filings with Governmental Authorities Generally</w:t>
      </w:r>
      <w:r>
        <w:rPr>
          <w:rFonts w:cs="Arial"/>
          <w:szCs w:val="20"/>
        </w:rPr>
        <w:t>) and Section 6.1.3(iii) (</w:t>
      </w:r>
      <w:r>
        <w:rPr>
          <w:rFonts w:cs="Arial"/>
          <w:i/>
          <w:iCs/>
          <w:szCs w:val="20"/>
        </w:rPr>
        <w:t>Governmental Approvals; Consents</w:t>
      </w:r>
      <w:r>
        <w:rPr>
          <w:rFonts w:cs="Arial"/>
          <w:szCs w:val="20"/>
        </w:rPr>
        <w:t>)</w:t>
      </w:r>
      <w:r>
        <w:rPr>
          <w:rFonts w:cs="Arial"/>
        </w:rPr>
        <w:t xml:space="preserve">, to consummate the transactions contemplated by this APA, commercially reasonable actions to: (i) make and obtain all Consents, or other permission or action by, and to make all applications and submissions to, Governmental Authorities as are required to be made or obtained by the Party or its Affiliates for the consummation of the transactions contemplated by this APA; (ii) secure the expiration or termination of any applicable waiting period from any Governmental Authority; (iii) defend all Actions associated with subparts (i) and (ii) of this Section 5.1.4 challenging this APA, or the other Transaction Documents, or the consummation of the transactions contemplated by this APA; and (iv) resolve any objections asserted with respect to the transactions contemplated by this APA, and the other Transaction Documents raised by any Governmental Authority associated with subparts (i) and (ii) of this Section 5.1.4, and to prevent the entry of any related court order and to have vacated, lifted, reversed, or overturned any decree, judgment, permanent, or preliminary injunction, restraining order, or other order associated with subparts (i) and (ii) of this Section 5.1.4. Each Party will, and will cause its Affiliates to, use commercially reasonable efforts to respond to and seek to resolve as promptly as reasonably practicable any objections asserted by any Governmental Authority regarding the transactions contemplated by this APA or the other Transaction Documents. </w:t>
      </w:r>
      <w:r>
        <w:rPr>
          <w:rFonts w:cs="Arial"/>
          <w:szCs w:val="20"/>
        </w:rPr>
        <w:t>The provisions of this Section 5.1.4 are subject to the limitations set forth in Section 5.1.5 (</w:t>
      </w:r>
      <w:r>
        <w:rPr>
          <w:rFonts w:cs="Arial"/>
          <w:i/>
          <w:iCs/>
          <w:szCs w:val="20"/>
        </w:rPr>
        <w:t>Limitations</w:t>
      </w:r>
      <w:r>
        <w:rPr>
          <w:rFonts w:cs="Arial"/>
          <w:szCs w:val="20"/>
        </w:rPr>
        <w:t>)</w:t>
      </w:r>
      <w:r w:rsidR="009D2283">
        <w:rPr>
          <w:rFonts w:cs="Arial"/>
          <w:szCs w:val="20"/>
        </w:rPr>
        <w:t xml:space="preserve"> and</w:t>
      </w:r>
      <w:r>
        <w:rPr>
          <w:rFonts w:cs="Arial"/>
          <w:szCs w:val="20"/>
        </w:rPr>
        <w:t xml:space="preserve"> Section 6.1.3 (</w:t>
      </w:r>
      <w:r>
        <w:rPr>
          <w:rFonts w:cs="Arial"/>
          <w:i/>
          <w:iCs/>
          <w:szCs w:val="20"/>
        </w:rPr>
        <w:t>Government Approvals; Consents</w:t>
      </w:r>
      <w:r>
        <w:rPr>
          <w:rFonts w:cs="Arial"/>
          <w:szCs w:val="20"/>
        </w:rPr>
        <w:t>)</w:t>
      </w:r>
      <w:r w:rsidR="009D2283">
        <w:rPr>
          <w:rFonts w:cs="Arial"/>
          <w:szCs w:val="20"/>
        </w:rPr>
        <w:t xml:space="preserve">, including </w:t>
      </w:r>
      <w:r>
        <w:rPr>
          <w:rFonts w:cs="Arial"/>
          <w:szCs w:val="20"/>
        </w:rPr>
        <w:t>Section 6.1.3(vi) (</w:t>
      </w:r>
      <w:r>
        <w:rPr>
          <w:rFonts w:cs="Arial"/>
          <w:i/>
          <w:iCs/>
          <w:szCs w:val="20"/>
        </w:rPr>
        <w:t>Burdensome Conditions</w:t>
      </w:r>
      <w:r>
        <w:rPr>
          <w:rFonts w:cs="Arial"/>
          <w:szCs w:val="20"/>
        </w:rPr>
        <w:t>),</w:t>
      </w:r>
      <w:r>
        <w:rPr>
          <w:rFonts w:cs="Arial"/>
          <w:b/>
          <w:bCs/>
          <w:szCs w:val="20"/>
        </w:rPr>
        <w:t xml:space="preserve"> </w:t>
      </w:r>
      <w:r>
        <w:rPr>
          <w:rFonts w:cs="Arial"/>
          <w:b/>
          <w:bCs/>
          <w:szCs w:val="20"/>
          <w:highlight w:val="cyan"/>
        </w:rPr>
        <w:t>[</w:t>
      </w:r>
      <w:r>
        <w:rPr>
          <w:rFonts w:cs="Arial"/>
          <w:b/>
          <w:bCs/>
          <w:i/>
          <w:iCs/>
          <w:szCs w:val="20"/>
          <w:highlight w:val="cyan"/>
          <w:u w:val="single"/>
        </w:rPr>
        <w:t>Note to Bidders</w:t>
      </w:r>
      <w:r>
        <w:rPr>
          <w:rFonts w:cs="Arial"/>
          <w:b/>
          <w:bCs/>
          <w:i/>
          <w:iCs/>
          <w:szCs w:val="20"/>
          <w:highlight w:val="cyan"/>
        </w:rPr>
        <w:t>: This Section may be revised to include specific timeframes for certain filings</w:t>
      </w:r>
      <w:r>
        <w:rPr>
          <w:rFonts w:cs="Arial"/>
          <w:b/>
          <w:bCs/>
          <w:szCs w:val="20"/>
          <w:highlight w:val="cyan"/>
        </w:rPr>
        <w:t>.]</w:t>
      </w:r>
      <w:r>
        <w:rPr>
          <w:rFonts w:cs="Arial"/>
        </w:rPr>
        <w:t xml:space="preserve"> </w:t>
      </w:r>
    </w:p>
    <w:p w:rsidRPr="00C83DF3" w:rsidR="00252447" w:rsidP="00B71D5E" w:rsidRDefault="00252447" w14:paraId="16CF7E0B" w14:textId="77777777">
      <w:pPr>
        <w:pStyle w:val="zGTC03"/>
        <w:rPr>
          <w:rFonts w:cs="Arial"/>
        </w:rPr>
      </w:pPr>
      <w:r>
        <w:rPr>
          <w:rFonts w:cs="Arial"/>
          <w:b/>
          <w:bCs/>
        </w:rPr>
        <w:t>Limitations.</w:t>
      </w:r>
      <w:r>
        <w:rPr>
          <w:rFonts w:cs="Arial"/>
        </w:rPr>
        <w:t xml:space="preserve"> Despite any other provision in this APA to the contrary: (i) neither Party will be obligated to provide the other Party with proprietary information relating to the Party’s businesses or any information that could reasonably be expected to result in a violation of any applicable </w:t>
      </w:r>
      <w:r>
        <w:t>law</w:t>
      </w:r>
      <w:r>
        <w:rPr>
          <w:rFonts w:cs="Arial"/>
        </w:rPr>
        <w:t xml:space="preserve"> or Contract or constitute waiver of any attorney-client privilege or attorney work product protection; and (ii) GPC will not be required to agree to, accept, or become subject to, any Burdensome Condition. In addition, despite any other provision in this APA, GPC will not be required to: (a) consult with Seller regarding, or permit Seller to review, any filings or other information submitted by or on behalf of GPC to the Commission; (b) incorporate or otherwise address any Seller comments with respect to any filings or other information submitted by or on behalf of GPC to the Commission; (c) provide notice to Seller of communications between GPC and the Commission, or copies of any notices, correspondence, or other written communications between GPC and the Commission; or (d) permit Seller to participate in any discussions </w:t>
      </w:r>
      <w:r>
        <w:rPr>
          <w:rFonts w:cs="Arial"/>
        </w:rPr>
        <w:lastRenderedPageBreak/>
        <w:t>or meetings between GPC and the Commission. For the avoidance of doubt, all references to the Commission in this Section 5.1.5 (</w:t>
      </w:r>
      <w:r>
        <w:rPr>
          <w:rFonts w:cs="Arial"/>
          <w:i/>
          <w:iCs/>
        </w:rPr>
        <w:t>Limitations</w:t>
      </w:r>
      <w:r>
        <w:rPr>
          <w:rFonts w:cs="Arial"/>
        </w:rPr>
        <w:t>) include the Commission staff.</w:t>
      </w:r>
    </w:p>
    <w:p w:rsidRPr="00C83DF3" w:rsidR="0029492C" w:rsidP="00B71D5E" w:rsidRDefault="0029492C" w14:paraId="31231D4D" w14:textId="77777777">
      <w:pPr>
        <w:pStyle w:val="zGTC02"/>
        <w:rPr>
          <w:rFonts w:ascii="Arial" w:hAnsi="Arial" w:cs="Arial"/>
          <w:vanish/>
          <w:specVanish/>
        </w:rPr>
      </w:pPr>
      <w:bookmarkStart w:name="_Toc138350391" w:id="291"/>
      <w:bookmarkStart w:name="_Toc143607237" w:id="292"/>
      <w:bookmarkStart w:name="_Toc181639447" w:id="293"/>
      <w:bookmarkStart w:name="_Toc214644767" w:id="294"/>
      <w:r>
        <w:rPr>
          <w:rFonts w:ascii="Arial" w:hAnsi="Arial" w:cs="Arial"/>
        </w:rPr>
        <w:t>Access to Information.</w:t>
      </w:r>
      <w:bookmarkEnd w:id="291"/>
      <w:bookmarkEnd w:id="292"/>
      <w:bookmarkEnd w:id="293"/>
      <w:bookmarkEnd w:id="294"/>
    </w:p>
    <w:p w:rsidRPr="00C83DF3" w:rsidR="00783D36" w:rsidP="00B71D5E" w:rsidRDefault="0029492C" w14:paraId="2B27DA62" w14:textId="77777777">
      <w:pPr>
        <w:pStyle w:val="zGNormal"/>
        <w:spacing w:after="120"/>
      </w:pPr>
      <w:r>
        <w:t xml:space="preserve"> </w:t>
      </w:r>
    </w:p>
    <w:p w:rsidRPr="00C83DF3" w:rsidR="0029492C" w:rsidP="003F44D0" w:rsidRDefault="00413039" w14:paraId="32F1990D" w14:textId="77777777">
      <w:pPr>
        <w:pStyle w:val="zGTC03"/>
      </w:pPr>
      <w:r>
        <w:rPr>
          <w:b/>
          <w:bCs/>
        </w:rPr>
        <w:t xml:space="preserve">General Access. </w:t>
      </w:r>
      <w:r>
        <w:t>During the Interim Period, Seller will, and will cause its Affiliates to, provide GPC and its Representatives with reasonable access to, and the opportunity to make reasonable inspections of, upon reasonable prior notice and during normal business hours, all: (a) Representatives of Seller; (b) Seller’s premises and properties (including the Facility and Facility Assets); and (c) all Books and Records and other information (including Tax records) of Seller, in each case, as reasonably requested by GPC; except that neither GPC nor any of its Affiliates or its or their respective Representatives will conduct any subsurface investigation or invasive inspection or testing of any environmental media without the prior written consent of Seller. Despite any other provision in Section 10.1 (</w:t>
      </w:r>
      <w:r>
        <w:rPr>
          <w:i/>
          <w:iCs/>
        </w:rPr>
        <w:t>Notices</w:t>
      </w:r>
      <w:r>
        <w:t>), email consent from any Representative of Seller or GPC will suffice to satisfy the requirement in this Section 5.2 (</w:t>
      </w:r>
      <w:r>
        <w:rPr>
          <w:i/>
          <w:iCs/>
        </w:rPr>
        <w:t>Access to Information</w:t>
      </w:r>
      <w:r>
        <w:t>) that notice and consent be given in writing, and each Party will be entitled to rely on the email consent for all purposes of this Section 5.2. Despite the prior sentence, and without limiting the generality of the confidentiality provisions set forth in this APA or any other Transaction Document, Seller will not be required to provide (or cause its Affiliates to provide) any information if: (i) the disclosure would be reasonably likely to contravene any applicable laws, Permits, Contracts, fiduciary duty or other binding obligation of Seller; (ii) the disclosure would be reasonably likely to jeopardize any attorney-client privilege or attorney work product protection; or (iii) the information is pertinent to any litigation in which the Seller or any of its Affiliates, on the one hand, and GPC or any of its Affiliates, on the other hand, are adverse parties; except that nothing in this APA will limit any Party’s rights to discovery in connection with any litigation. Any access to the Seller Representatives or the premises, properties, books, records, and other information of Seller will be subject to the following additional limitations: (a) GPC, its Affiliates, and its and their respective Representatives will not damage all or any portion of the property of the Seller or any of its Affiliates; (b) a Representative of Seller will have the right to be present when GPC, any of its Affiliates or any of its or their respective Representatives conducts its inspection; and (c) GPC will (and will cause its Affiliates and its and their respective Representatives to) use commercially reasonable efforts to perform all on-site due diligence reviews and all communications with any Person on an expeditious and efficient basis.</w:t>
      </w:r>
    </w:p>
    <w:p w:rsidRPr="00C83DF3" w:rsidR="00074461" w:rsidP="00074461" w:rsidRDefault="00074461" w14:paraId="79894B14" w14:textId="77777777">
      <w:pPr>
        <w:pStyle w:val="zGTC03"/>
      </w:pPr>
      <w:r>
        <w:rPr>
          <w:b/>
          <w:bCs/>
        </w:rPr>
        <w:t>GPC On-Site Representatives.</w:t>
      </w:r>
      <w:r>
        <w:t xml:space="preserve"> Subject to applicable regulatory restrictions, in furtherance of providing GPC reasonable access to the Facility under this Section 5.2 (</w:t>
      </w:r>
      <w:r>
        <w:rPr>
          <w:i/>
          <w:iCs/>
        </w:rPr>
        <w:t>Access to Information</w:t>
      </w:r>
      <w:r>
        <w:t>), beginning on the later of; (i) the expiration or termination of the applicable waiting period under the HSR Act; or (ii) or the target date specified in Exhibit A-1 (</w:t>
      </w:r>
      <w:r>
        <w:rPr>
          <w:i/>
          <w:iCs/>
        </w:rPr>
        <w:t>Facility Information and Additional Details</w:t>
      </w:r>
      <w:r>
        <w:t xml:space="preserve">) (or such other date mutually agreed upon by the Parties in writing), and for the remainder of the Interim Period, Seller must: </w:t>
      </w:r>
    </w:p>
    <w:p w:rsidRPr="00C83DF3" w:rsidR="00074461" w:rsidP="00074461" w:rsidRDefault="00074461" w14:paraId="231249C9" w14:textId="77777777">
      <w:pPr>
        <w:pStyle w:val="zGTC04"/>
      </w:pPr>
      <w:r>
        <w:t>Permit up to two representatives of GPC (“</w:t>
      </w:r>
      <w:bookmarkStart w:name="_Hlk165840222" w:id="295"/>
      <w:r>
        <w:rPr>
          <w:b/>
          <w:bCs/>
        </w:rPr>
        <w:t>GPC On-Site Representatives</w:t>
      </w:r>
      <w:bookmarkEnd w:id="295"/>
      <w:r>
        <w:t xml:space="preserve">”) to remain on-site at the </w:t>
      </w:r>
      <w:proofErr w:type="gramStart"/>
      <w:r>
        <w:t>Facility;</w:t>
      </w:r>
      <w:proofErr w:type="gramEnd"/>
      <w:r>
        <w:t xml:space="preserve"> </w:t>
      </w:r>
    </w:p>
    <w:p w:rsidRPr="00C83DF3" w:rsidR="00074461" w:rsidP="00074461" w:rsidRDefault="00074461" w14:paraId="0FA55FE4" w14:textId="77777777">
      <w:pPr>
        <w:pStyle w:val="zGTC04"/>
      </w:pPr>
      <w:r>
        <w:t>Permit GPC, at GPC’s sole cost and expense, to: (a) bring onto and maintain on the Facility site a mobile office unit or trailer that will allow for reasonable access to the Facility (the exact location of which will be subject to the mutual agreement of the Parties) and (b) provide a method and labor as reasonably requested (at GPC’s sole cost and expense) to connect the mobile office electrical service to the Facility’s station service; and</w:t>
      </w:r>
    </w:p>
    <w:p w:rsidRPr="00C83DF3" w:rsidR="00074461" w:rsidP="00074461" w:rsidRDefault="00074461" w14:paraId="565C6653" w14:textId="77777777">
      <w:pPr>
        <w:pStyle w:val="zGTC04"/>
      </w:pPr>
      <w:r>
        <w:t xml:space="preserve">Permit GPC to engage a third-party contractor to come onto the Facility site and provide services for temporary voice and data connectivity and to stage materials for permanent installation during the transition and post-Closing </w:t>
      </w:r>
      <w:proofErr w:type="gramStart"/>
      <w:r>
        <w:t>periods;</w:t>
      </w:r>
      <w:proofErr w:type="gramEnd"/>
    </w:p>
    <w:p w:rsidRPr="00C83DF3" w:rsidR="00074461" w:rsidP="00074461" w:rsidRDefault="00074461" w14:paraId="31CE5658" w14:textId="77777777">
      <w:pPr>
        <w:pStyle w:val="zGTC03"/>
      </w:pPr>
      <w:r>
        <w:rPr>
          <w:b/>
          <w:bCs/>
        </w:rPr>
        <w:t>Certain GPC On-Site Representative Limitations</w:t>
      </w:r>
      <w:r>
        <w:rPr>
          <w:b/>
          <w:bCs/>
          <w:i/>
          <w:iCs/>
        </w:rPr>
        <w:t xml:space="preserve">. </w:t>
      </w:r>
      <w:r>
        <w:t>Despite the provisions of Section 5.2.2 (</w:t>
      </w:r>
      <w:r>
        <w:rPr>
          <w:i/>
          <w:iCs/>
        </w:rPr>
        <w:t>GPC On-Site Representatives</w:t>
      </w:r>
      <w:r>
        <w:t xml:space="preserve">): (i) the GPC On-Site Representatives (and any replacements thereof) and each such third-party contractor must be approved by Seller in advance, and Seller may require the removal or replacement of any GPC On-Site Representative or any such third-party contractor for any valid reason, as determined by Seller in their reasonable discretion; (ii) the GPC On-Site Representatives and any such third-party contractors will remain on-site at the Facility only during normal business hours and must not interfere with the normal operation of the business of Seller or the Facility; (iii) the GPC On-Site Representatives and any such third-party contractors must comply with all applicable safety, security, business conduct and other rules, regulations and procedures implemented by Seller; and (iv) the GPC On-Site Representatives’ and any third-party contractor’s access to the Facility and the Seller’s facilities may be reasonably restricted by Seller for any valid reason, as determined by Seller in its sole discretion and as communicated to GPC in writing. </w:t>
      </w:r>
    </w:p>
    <w:p w:rsidRPr="00C83DF3" w:rsidR="0029492C" w:rsidP="00B71D5E" w:rsidRDefault="0029492C" w14:paraId="53D33FCA" w14:textId="77777777">
      <w:pPr>
        <w:pStyle w:val="zGTC02"/>
        <w:rPr>
          <w:rFonts w:ascii="Arial" w:hAnsi="Arial" w:cs="Arial"/>
        </w:rPr>
      </w:pPr>
      <w:bookmarkStart w:name="_Toc138350392" w:id="296"/>
      <w:bookmarkStart w:name="_Toc143607238" w:id="297"/>
      <w:bookmarkStart w:name="_Toc181639448" w:id="298"/>
      <w:bookmarkStart w:name="_Toc214644768" w:id="299"/>
      <w:r>
        <w:rPr>
          <w:rFonts w:ascii="Arial" w:hAnsi="Arial" w:cs="Arial"/>
        </w:rPr>
        <w:lastRenderedPageBreak/>
        <w:t>Conduct of Business.</w:t>
      </w:r>
      <w:bookmarkEnd w:id="296"/>
      <w:bookmarkEnd w:id="297"/>
      <w:bookmarkEnd w:id="298"/>
      <w:bookmarkEnd w:id="299"/>
    </w:p>
    <w:p w:rsidRPr="00C83DF3" w:rsidR="0029492C" w:rsidP="00B71D5E" w:rsidRDefault="00991F91" w14:paraId="6A430FB5" w14:textId="77777777">
      <w:pPr>
        <w:pStyle w:val="zGTC03"/>
        <w:rPr>
          <w:rFonts w:cs="Arial"/>
        </w:rPr>
      </w:pPr>
      <w:r>
        <w:rPr>
          <w:rFonts w:cs="Arial"/>
          <w:b/>
          <w:bCs/>
        </w:rPr>
        <w:t>Interim Period.</w:t>
      </w:r>
      <w:r>
        <w:rPr>
          <w:rFonts w:cs="Arial"/>
        </w:rPr>
        <w:t xml:space="preserve"> Subject to applicable regulatory restrictions,</w:t>
      </w:r>
      <w:r>
        <w:rPr>
          <w:rFonts w:cs="Arial"/>
          <w:b/>
          <w:bCs/>
        </w:rPr>
        <w:t xml:space="preserve"> </w:t>
      </w:r>
      <w:r>
        <w:rPr>
          <w:rFonts w:cs="Arial"/>
        </w:rPr>
        <w:t xml:space="preserve">during the Interim Period, except as set forth on Section 5.3.1 of the Seller Disclosure Schedule, as expressly contemplated by this APA, as required by applicable </w:t>
      </w:r>
      <w:r>
        <w:t>law</w:t>
      </w:r>
      <w:r>
        <w:rPr>
          <w:rFonts w:cs="Arial"/>
        </w:rPr>
        <w:t xml:space="preserve">, or as consented to in writing by GPC, Seller will: (i) conduct its business in the ordinary course of business; (ii) use commercially reasonable efforts to own, operate, maintain, repair, and use the Facility in accordance with Prudent Utility Practice and applicable Permits, </w:t>
      </w:r>
      <w:r>
        <w:t>law</w:t>
      </w:r>
      <w:r>
        <w:rPr>
          <w:rFonts w:cs="Arial"/>
        </w:rPr>
        <w:t xml:space="preserve">s, and Contracts; and (iii) use commercially reasonable efforts to preserve relationships with its business relations in connection with the Facility in the ordinary course of business. Without limiting the foregoing, during the Interim Period, except as set forth </w:t>
      </w:r>
      <w:proofErr w:type="gramStart"/>
      <w:r>
        <w:rPr>
          <w:rFonts w:cs="Arial"/>
        </w:rPr>
        <w:t>on</w:t>
      </w:r>
      <w:proofErr w:type="gramEnd"/>
      <w:r>
        <w:rPr>
          <w:rFonts w:cs="Arial"/>
        </w:rPr>
        <w:t xml:space="preserve"> Section 5.3.1 of the Seller Disclosure Schedule, as expressly contemplated by this APA, Permits and Contracts, or as required by applicable </w:t>
      </w:r>
      <w:r>
        <w:t>law</w:t>
      </w:r>
      <w:r>
        <w:rPr>
          <w:rFonts w:cs="Arial"/>
        </w:rPr>
        <w:t xml:space="preserve"> or as consented to in writing by GPC, Seller will not: </w:t>
      </w:r>
    </w:p>
    <w:p w:rsidRPr="00C83DF3" w:rsidR="0029492C" w:rsidP="00B71D5E" w:rsidRDefault="0029492C" w14:paraId="29BE7F1A" w14:textId="77777777">
      <w:pPr>
        <w:pStyle w:val="zGTC04"/>
        <w:rPr>
          <w:rFonts w:cs="Arial"/>
        </w:rPr>
      </w:pPr>
      <w:r>
        <w:rPr>
          <w:rFonts w:cs="Arial"/>
        </w:rPr>
        <w:t>amend any of its Organizational Documents or fail to maintain its legal existence as the entity type specified in Exhibit A-1 (</w:t>
      </w:r>
      <w:r>
        <w:rPr>
          <w:rFonts w:cs="Arial"/>
          <w:i/>
          <w:iCs/>
        </w:rPr>
        <w:t>Facility Information and Additional Details</w:t>
      </w:r>
      <w:proofErr w:type="gramStart"/>
      <w:r>
        <w:rPr>
          <w:rFonts w:cs="Arial"/>
        </w:rPr>
        <w:t>);</w:t>
      </w:r>
      <w:proofErr w:type="gramEnd"/>
    </w:p>
    <w:p w:rsidRPr="00C83DF3" w:rsidR="0029492C" w:rsidP="00B71D5E" w:rsidRDefault="0029492C" w14:paraId="0C1ED4F3" w14:textId="77777777">
      <w:pPr>
        <w:pStyle w:val="zGTC04"/>
        <w:rPr>
          <w:rFonts w:cs="Arial"/>
        </w:rPr>
      </w:pPr>
      <w:r>
        <w:rPr>
          <w:rFonts w:cs="Arial"/>
        </w:rPr>
        <w:t xml:space="preserve">engage in any line of business other than the continued ownership, operation, maintenance, and use of the </w:t>
      </w:r>
      <w:proofErr w:type="gramStart"/>
      <w:r>
        <w:rPr>
          <w:rFonts w:cs="Arial"/>
        </w:rPr>
        <w:t>Facility;</w:t>
      </w:r>
      <w:proofErr w:type="gramEnd"/>
    </w:p>
    <w:p w:rsidRPr="00C83DF3" w:rsidR="0029492C" w:rsidP="00B71D5E" w:rsidRDefault="0029492C" w14:paraId="15DC3337" w14:textId="77777777">
      <w:pPr>
        <w:pStyle w:val="zGTC04"/>
        <w:rPr>
          <w:rFonts w:cs="Arial"/>
        </w:rPr>
      </w:pPr>
      <w:r>
        <w:rPr>
          <w:rFonts w:cs="Arial"/>
        </w:rPr>
        <w:t xml:space="preserve">sell, assign, transfer, lease, license, or otherwise dispose of any Facility Assets, except for sales of obsolete assets or excess construction materials in the ordinary course of </w:t>
      </w:r>
      <w:proofErr w:type="gramStart"/>
      <w:r>
        <w:rPr>
          <w:rFonts w:cs="Arial"/>
        </w:rPr>
        <w:t>business;</w:t>
      </w:r>
      <w:proofErr w:type="gramEnd"/>
    </w:p>
    <w:p w:rsidRPr="00C83DF3" w:rsidR="0029492C" w:rsidP="00B71D5E" w:rsidRDefault="0029492C" w14:paraId="3BA57CA7" w14:textId="77777777">
      <w:pPr>
        <w:pStyle w:val="zGTC04"/>
        <w:rPr>
          <w:rFonts w:cs="Arial"/>
        </w:rPr>
      </w:pPr>
      <w:r>
        <w:rPr>
          <w:rFonts w:cs="Arial"/>
        </w:rPr>
        <w:t>purchase, lease, or otherwise acquire any property or assets having a value that exceeds the individual amount or aggregate amount specified in Exhibit A-1 (</w:t>
      </w:r>
      <w:r>
        <w:rPr>
          <w:rFonts w:cs="Arial"/>
          <w:i/>
          <w:iCs/>
        </w:rPr>
        <w:t>Facility Information and Additional Details</w:t>
      </w:r>
      <w:r>
        <w:rPr>
          <w:rFonts w:cs="Arial"/>
        </w:rPr>
        <w:t xml:space="preserve">), except for purchases of materials, supplies, and spare parts in the ordinary course of business, including as necessary to comply with any Facility </w:t>
      </w:r>
      <w:proofErr w:type="gramStart"/>
      <w:r>
        <w:rPr>
          <w:rFonts w:cs="Arial"/>
        </w:rPr>
        <w:t>Contract;</w:t>
      </w:r>
      <w:proofErr w:type="gramEnd"/>
    </w:p>
    <w:p w:rsidRPr="00C83DF3" w:rsidR="0029492C" w:rsidP="00B71D5E" w:rsidRDefault="0029492C" w14:paraId="56ABEAEF" w14:textId="77777777">
      <w:pPr>
        <w:pStyle w:val="zGTC04"/>
        <w:rPr>
          <w:rFonts w:cs="Arial"/>
        </w:rPr>
      </w:pPr>
      <w:r>
        <w:rPr>
          <w:rFonts w:cs="Arial"/>
        </w:rPr>
        <w:t xml:space="preserve">merge or consolidate with, or acquire, any other Person or </w:t>
      </w:r>
      <w:proofErr w:type="gramStart"/>
      <w:r>
        <w:rPr>
          <w:rFonts w:cs="Arial"/>
        </w:rPr>
        <w:t>enter into</w:t>
      </w:r>
      <w:proofErr w:type="gramEnd"/>
      <w:r>
        <w:rPr>
          <w:rFonts w:cs="Arial"/>
        </w:rPr>
        <w:t xml:space="preserve"> any joint venture, partnership, or similar venture with any other </w:t>
      </w:r>
      <w:proofErr w:type="gramStart"/>
      <w:r>
        <w:rPr>
          <w:rFonts w:cs="Arial"/>
        </w:rPr>
        <w:t>Person;</w:t>
      </w:r>
      <w:proofErr w:type="gramEnd"/>
    </w:p>
    <w:p w:rsidRPr="00C83DF3" w:rsidR="0029492C" w:rsidP="00B71D5E" w:rsidRDefault="0029492C" w14:paraId="1C60AB9E" w14:textId="77777777">
      <w:pPr>
        <w:pStyle w:val="zGTC04"/>
        <w:rPr>
          <w:rFonts w:cs="Arial"/>
        </w:rPr>
      </w:pPr>
      <w:r>
        <w:rPr>
          <w:rFonts w:cs="Arial"/>
        </w:rPr>
        <w:t xml:space="preserve">liquidate, dissolve, reorganize, or otherwise wind up its business or </w:t>
      </w:r>
      <w:proofErr w:type="gramStart"/>
      <w:r>
        <w:rPr>
          <w:rFonts w:cs="Arial"/>
        </w:rPr>
        <w:t>operations;</w:t>
      </w:r>
      <w:proofErr w:type="gramEnd"/>
    </w:p>
    <w:p w:rsidRPr="00C83DF3" w:rsidR="0029492C" w:rsidP="00B71D5E" w:rsidRDefault="0029492C" w14:paraId="43A4893E" w14:textId="77777777">
      <w:pPr>
        <w:pStyle w:val="zGTC04"/>
        <w:rPr>
          <w:rFonts w:cs="Arial"/>
        </w:rPr>
      </w:pPr>
      <w:r>
        <w:rPr>
          <w:rFonts w:cs="Arial"/>
        </w:rPr>
        <w:t xml:space="preserve">make a voluntary assignment for the benefit of its creditors or file a voluntary petition </w:t>
      </w:r>
      <w:proofErr w:type="gramStart"/>
      <w:r>
        <w:rPr>
          <w:rFonts w:cs="Arial"/>
        </w:rPr>
        <w:t>of</w:t>
      </w:r>
      <w:proofErr w:type="gramEnd"/>
      <w:r>
        <w:rPr>
          <w:rFonts w:cs="Arial"/>
        </w:rPr>
        <w:t xml:space="preserve"> bankruptcy or insolvency or otherwise institute insolvency proceedings of any </w:t>
      </w:r>
      <w:proofErr w:type="gramStart"/>
      <w:r>
        <w:rPr>
          <w:rFonts w:cs="Arial"/>
        </w:rPr>
        <w:t>type;</w:t>
      </w:r>
      <w:proofErr w:type="gramEnd"/>
    </w:p>
    <w:p w:rsidRPr="00C83DF3" w:rsidR="0029492C" w:rsidP="00B71D5E" w:rsidRDefault="0029492C" w14:paraId="1A31D5E2" w14:textId="77777777">
      <w:pPr>
        <w:pStyle w:val="zGTC04"/>
        <w:rPr>
          <w:rFonts w:cs="Arial"/>
        </w:rPr>
      </w:pPr>
      <w:r>
        <w:rPr>
          <w:rFonts w:cs="Arial"/>
        </w:rPr>
        <w:t xml:space="preserve">abandon the </w:t>
      </w:r>
      <w:proofErr w:type="gramStart"/>
      <w:r>
        <w:rPr>
          <w:rFonts w:cs="Arial"/>
        </w:rPr>
        <w:t>Facility;</w:t>
      </w:r>
      <w:proofErr w:type="gramEnd"/>
    </w:p>
    <w:p w:rsidRPr="00C83DF3" w:rsidR="0029492C" w:rsidP="00B71D5E" w:rsidRDefault="0029492C" w14:paraId="04E70816" w14:textId="77777777">
      <w:pPr>
        <w:pStyle w:val="zGTC04"/>
        <w:rPr>
          <w:rFonts w:cs="Arial"/>
        </w:rPr>
      </w:pPr>
      <w:r>
        <w:rPr>
          <w:rFonts w:cs="Arial"/>
        </w:rPr>
        <w:t xml:space="preserve">(a) other than borrowings made in the ordinary course of business consistent with past practice under existing lines of credit, create, incur, assume, or guarantee Indebtedness; or (b) grant, impose, or permit to exist any Lien (other than a Permitted Lien) on the Facility or any Facility </w:t>
      </w:r>
      <w:proofErr w:type="gramStart"/>
      <w:r>
        <w:rPr>
          <w:rFonts w:cs="Arial"/>
        </w:rPr>
        <w:t>Assets;</w:t>
      </w:r>
      <w:proofErr w:type="gramEnd"/>
    </w:p>
    <w:p w:rsidRPr="00C83DF3" w:rsidR="0029492C" w:rsidP="00B71D5E" w:rsidRDefault="0029492C" w14:paraId="2E2DE453" w14:textId="77777777">
      <w:pPr>
        <w:pStyle w:val="zGTC04"/>
        <w:rPr>
          <w:rFonts w:cs="Arial"/>
        </w:rPr>
      </w:pPr>
      <w:proofErr w:type="gramStart"/>
      <w:r>
        <w:rPr>
          <w:rFonts w:cs="Arial"/>
        </w:rPr>
        <w:t>enter into</w:t>
      </w:r>
      <w:proofErr w:type="gramEnd"/>
      <w:r>
        <w:rPr>
          <w:rFonts w:cs="Arial"/>
        </w:rPr>
        <w:t xml:space="preserve"> any Affiliate Arrangement that will be in effect following the </w:t>
      </w:r>
      <w:proofErr w:type="gramStart"/>
      <w:r>
        <w:rPr>
          <w:rFonts w:cs="Arial"/>
        </w:rPr>
        <w:t>Closing;</w:t>
      </w:r>
      <w:proofErr w:type="gramEnd"/>
    </w:p>
    <w:p w:rsidRPr="00C83DF3" w:rsidR="0029492C" w:rsidP="00B71D5E" w:rsidRDefault="0029492C" w14:paraId="319CFDB3" w14:textId="56E9186C">
      <w:pPr>
        <w:pStyle w:val="zGTC04"/>
        <w:rPr>
          <w:rFonts w:cs="Arial"/>
        </w:rPr>
      </w:pPr>
      <w:r>
        <w:rPr>
          <w:rFonts w:cs="Arial"/>
        </w:rPr>
        <w:t xml:space="preserve">(a) amend or grant any waiver under any Facility Contract or Real Property Agreement (other than: (I) ministerial or immaterial amendments or waivers, in each case, that would not reasonably be expected to have an adverse impact on GPC (either directly or indirectly through ownership of the Facility Assets) or its rights thereunder following the Closing; or (II) as expressly required by the terms thereof as of the </w:t>
      </w:r>
      <w:r w:rsidR="00DB7F24">
        <w:rPr>
          <w:rFonts w:cs="Arial"/>
        </w:rPr>
        <w:t>Effective Date</w:t>
      </w:r>
      <w:r>
        <w:rPr>
          <w:rFonts w:cs="Arial"/>
        </w:rPr>
        <w:t>); (b) terminate any Facility Contract or Real Property Agreement (other than any expiration or termination in accordance with its terms, except as a result of any breach by Seller); (c) assign any Facility Contract or Real Property Agreement; or (d) enter into any Real Property Agreement or any Contract with respect to the Facility or the Facility Assets;</w:t>
      </w:r>
    </w:p>
    <w:p w:rsidRPr="00C83DF3" w:rsidR="0029492C" w:rsidP="00B71D5E" w:rsidRDefault="0029492C" w14:paraId="6EBD82AF" w14:textId="77777777">
      <w:pPr>
        <w:pStyle w:val="zGTC04"/>
        <w:rPr>
          <w:rFonts w:cs="Arial"/>
        </w:rPr>
      </w:pPr>
      <w:r>
        <w:rPr>
          <w:rFonts w:cs="Arial"/>
        </w:rPr>
        <w:t xml:space="preserve">make any material modification to the design of the </w:t>
      </w:r>
      <w:proofErr w:type="gramStart"/>
      <w:r>
        <w:rPr>
          <w:rFonts w:cs="Arial"/>
        </w:rPr>
        <w:t>Facility;</w:t>
      </w:r>
      <w:proofErr w:type="gramEnd"/>
    </w:p>
    <w:p w:rsidRPr="00C83DF3" w:rsidR="0029492C" w:rsidP="00B71D5E" w:rsidRDefault="0029492C" w14:paraId="774B586D" w14:textId="77777777">
      <w:pPr>
        <w:pStyle w:val="zGTC04"/>
        <w:rPr>
          <w:rFonts w:cs="Arial"/>
        </w:rPr>
      </w:pPr>
      <w:proofErr w:type="gramStart"/>
      <w:r>
        <w:rPr>
          <w:rFonts w:cs="Arial"/>
        </w:rPr>
        <w:t>enter into</w:t>
      </w:r>
      <w:proofErr w:type="gramEnd"/>
      <w:r>
        <w:rPr>
          <w:rFonts w:cs="Arial"/>
        </w:rPr>
        <w:t xml:space="preserve"> any compromise or settlement of any material </w:t>
      </w:r>
      <w:proofErr w:type="gramStart"/>
      <w:r>
        <w:rPr>
          <w:rFonts w:cs="Arial"/>
        </w:rPr>
        <w:t>Actions;</w:t>
      </w:r>
      <w:proofErr w:type="gramEnd"/>
      <w:r>
        <w:rPr>
          <w:rFonts w:cs="Arial"/>
        </w:rPr>
        <w:t xml:space="preserve"> </w:t>
      </w:r>
    </w:p>
    <w:p w:rsidRPr="00C83DF3" w:rsidR="0029492C" w:rsidP="00B71D5E" w:rsidRDefault="0029492C" w14:paraId="208C3A52" w14:textId="77777777">
      <w:pPr>
        <w:pStyle w:val="zGTC04"/>
        <w:rPr>
          <w:rFonts w:cs="Arial"/>
        </w:rPr>
      </w:pPr>
      <w:r>
        <w:rPr>
          <w:rFonts w:cs="Arial"/>
        </w:rPr>
        <w:t xml:space="preserve">amend, restate, supplement, waive any rights under, terminate, or otherwise fail to maintain in effect any Facility </w:t>
      </w:r>
      <w:proofErr w:type="gramStart"/>
      <w:r>
        <w:rPr>
          <w:rFonts w:cs="Arial"/>
        </w:rPr>
        <w:t>Permit;</w:t>
      </w:r>
      <w:proofErr w:type="gramEnd"/>
      <w:r>
        <w:rPr>
          <w:rFonts w:cs="Arial"/>
        </w:rPr>
        <w:t xml:space="preserve"> </w:t>
      </w:r>
    </w:p>
    <w:p w:rsidRPr="00C83DF3" w:rsidR="0029492C" w:rsidP="00B71D5E" w:rsidRDefault="0029492C" w14:paraId="3EA624D8" w14:textId="77777777">
      <w:pPr>
        <w:pStyle w:val="zGTC04"/>
        <w:rPr>
          <w:rFonts w:cs="Arial"/>
        </w:rPr>
      </w:pPr>
      <w:r>
        <w:rPr>
          <w:rFonts w:cs="Arial"/>
        </w:rPr>
        <w:t xml:space="preserve">abandon or fail to maintain any Facility Intellectual </w:t>
      </w:r>
      <w:proofErr w:type="gramStart"/>
      <w:r>
        <w:rPr>
          <w:rFonts w:cs="Arial"/>
        </w:rPr>
        <w:t>Property;</w:t>
      </w:r>
      <w:proofErr w:type="gramEnd"/>
    </w:p>
    <w:p w:rsidRPr="00C83DF3" w:rsidR="0029492C" w:rsidP="00B71D5E" w:rsidRDefault="0029492C" w14:paraId="06E05022" w14:textId="77777777">
      <w:pPr>
        <w:pStyle w:val="zGTC04"/>
        <w:rPr>
          <w:rFonts w:cs="Arial"/>
        </w:rPr>
      </w:pPr>
      <w:r>
        <w:rPr>
          <w:rFonts w:cs="Arial"/>
        </w:rPr>
        <w:t xml:space="preserve">hire any employee or offer employment to any individual or adopt or </w:t>
      </w:r>
      <w:proofErr w:type="gramStart"/>
      <w:r>
        <w:rPr>
          <w:rFonts w:cs="Arial"/>
        </w:rPr>
        <w:t>enter into</w:t>
      </w:r>
      <w:proofErr w:type="gramEnd"/>
      <w:r>
        <w:rPr>
          <w:rFonts w:cs="Arial"/>
        </w:rPr>
        <w:t xml:space="preserve"> any Benefit Plan, or take any action that could result in Seller becoming a joint </w:t>
      </w:r>
      <w:proofErr w:type="gramStart"/>
      <w:r>
        <w:rPr>
          <w:rFonts w:cs="Arial"/>
        </w:rPr>
        <w:t>employer;</w:t>
      </w:r>
      <w:proofErr w:type="gramEnd"/>
    </w:p>
    <w:p w:rsidRPr="00C83DF3" w:rsidR="0029492C" w:rsidP="00B71D5E" w:rsidRDefault="00D50E34" w14:paraId="666EDDC6" w14:textId="66593E6A">
      <w:pPr>
        <w:pStyle w:val="zGTC04"/>
        <w:rPr>
          <w:rFonts w:cs="Arial"/>
        </w:rPr>
      </w:pPr>
      <w:r>
        <w:rPr>
          <w:rFonts w:cs="Arial"/>
        </w:rPr>
        <w:t xml:space="preserve"> </w:t>
      </w:r>
      <w:r w:rsidR="0029492C">
        <w:rPr>
          <w:rFonts w:cs="Arial"/>
        </w:rPr>
        <w:t xml:space="preserve">make any material change in its financial reporting and accounting methods, other than as required by GAAP or applicable </w:t>
      </w:r>
      <w:proofErr w:type="gramStart"/>
      <w:r w:rsidR="0029492C">
        <w:t>law</w:t>
      </w:r>
      <w:r w:rsidR="0029492C">
        <w:rPr>
          <w:rFonts w:cs="Arial"/>
        </w:rPr>
        <w:t>;</w:t>
      </w:r>
      <w:proofErr w:type="gramEnd"/>
    </w:p>
    <w:p w:rsidRPr="00C83DF3" w:rsidR="0029492C" w:rsidP="00B71D5E" w:rsidRDefault="0029492C" w14:paraId="463EE253" w14:textId="77777777">
      <w:pPr>
        <w:pStyle w:val="zGTC04"/>
        <w:rPr>
          <w:rFonts w:cs="Arial"/>
        </w:rPr>
      </w:pPr>
      <w:r>
        <w:rPr>
          <w:rFonts w:cs="Arial"/>
        </w:rPr>
        <w:lastRenderedPageBreak/>
        <w:t>make any new, or change any existing, election with respect to Taxes or settle any Tax Liability in a manner that would reasonably be expected to have a material adverse effect on GPC after the Closing; or</w:t>
      </w:r>
    </w:p>
    <w:p w:rsidRPr="00C83DF3" w:rsidR="0029492C" w:rsidP="00B71D5E" w:rsidRDefault="00D50E34" w14:paraId="757D6B7B" w14:textId="08BC62A5">
      <w:pPr>
        <w:pStyle w:val="zGTC04"/>
        <w:rPr>
          <w:rFonts w:cs="Arial"/>
        </w:rPr>
      </w:pPr>
      <w:r>
        <w:rPr>
          <w:rFonts w:cs="Arial"/>
        </w:rPr>
        <w:t xml:space="preserve"> </w:t>
      </w:r>
      <w:r w:rsidR="0029492C">
        <w:rPr>
          <w:rFonts w:cs="Arial"/>
        </w:rPr>
        <w:t xml:space="preserve">agree or commit to do any of the foregoing. </w:t>
      </w:r>
    </w:p>
    <w:p w:rsidRPr="00C83DF3" w:rsidR="0029492C" w:rsidP="00B71D5E" w:rsidRDefault="000357BC" w14:paraId="67914C03" w14:textId="77777777">
      <w:pPr>
        <w:pStyle w:val="zGTC03"/>
        <w:rPr>
          <w:rFonts w:cs="Arial"/>
        </w:rPr>
      </w:pPr>
      <w:r>
        <w:rPr>
          <w:rFonts w:cs="Arial"/>
          <w:b/>
          <w:bCs/>
        </w:rPr>
        <w:t>Emergency Circumstances.</w:t>
      </w:r>
      <w:r>
        <w:rPr>
          <w:rFonts w:cs="Arial"/>
        </w:rPr>
        <w:t xml:space="preserve"> Despite any other provision in this Section 5.3 (</w:t>
      </w:r>
      <w:r>
        <w:rPr>
          <w:rFonts w:cs="Arial"/>
          <w:i/>
          <w:iCs/>
        </w:rPr>
        <w:t>Conduct of Business</w:t>
      </w:r>
      <w:r>
        <w:rPr>
          <w:rFonts w:cs="Arial"/>
        </w:rPr>
        <w:t>), Seller may take the actions as it reasonably deems necessary to prevent the occurrence of, or mitigate the effects of, damage to property or injury to persons under emergency circumstances. Upon the occurrence of such event, Seller will provide GPC with notice of the action as soon as reasonably practicable and that taking the action will not impact GPC’s rights under this APA.</w:t>
      </w:r>
    </w:p>
    <w:p w:rsidRPr="00C83DF3" w:rsidR="0029492C" w:rsidP="00B71D5E" w:rsidRDefault="000357BC" w14:paraId="4C1DF285" w14:textId="77777777">
      <w:pPr>
        <w:pStyle w:val="zGTC03"/>
        <w:rPr>
          <w:rFonts w:cs="Arial"/>
        </w:rPr>
      </w:pPr>
      <w:r>
        <w:rPr>
          <w:rFonts w:cs="Arial"/>
          <w:b/>
          <w:bCs/>
          <w:szCs w:val="20"/>
        </w:rPr>
        <w:t>Notification of any Action.</w:t>
      </w:r>
      <w:r>
        <w:rPr>
          <w:rFonts w:cs="Arial"/>
          <w:szCs w:val="20"/>
        </w:rPr>
        <w:t xml:space="preserve"> During the Interim Period, Seller will promptly (but in any event within five Business Days) notify GPC of any Action from any Person (including any Governmental </w:t>
      </w:r>
      <w:r>
        <w:rPr>
          <w:rFonts w:cs="Arial"/>
        </w:rPr>
        <w:t>Authority</w:t>
      </w:r>
      <w:r>
        <w:rPr>
          <w:rFonts w:cs="Arial"/>
          <w:szCs w:val="20"/>
        </w:rPr>
        <w:t xml:space="preserve">) against Seller or affecting any of the Facility Assets. </w:t>
      </w:r>
    </w:p>
    <w:p w:rsidRPr="00C83DF3" w:rsidR="0029492C" w:rsidP="00B71D5E" w:rsidRDefault="000357BC" w14:paraId="33EDB395" w14:textId="77777777">
      <w:pPr>
        <w:pStyle w:val="zGTC03"/>
        <w:rPr>
          <w:rFonts w:cs="Arial"/>
        </w:rPr>
      </w:pPr>
      <w:r>
        <w:rPr>
          <w:rFonts w:cs="Arial"/>
          <w:b/>
          <w:bCs/>
          <w:szCs w:val="20"/>
        </w:rPr>
        <w:t xml:space="preserve">Amendments and Waivers. </w:t>
      </w:r>
      <w:r>
        <w:rPr>
          <w:rFonts w:cs="Arial"/>
          <w:szCs w:val="20"/>
        </w:rPr>
        <w:t xml:space="preserve">Seller will provide GPC with a true and complete copy of any amendment to or waiver under any Facility Contract or Real Property Agreement </w:t>
      </w:r>
      <w:proofErr w:type="gramStart"/>
      <w:r>
        <w:rPr>
          <w:rFonts w:cs="Arial"/>
          <w:szCs w:val="20"/>
        </w:rPr>
        <w:t>entered into</w:t>
      </w:r>
      <w:proofErr w:type="gramEnd"/>
      <w:r>
        <w:rPr>
          <w:rFonts w:cs="Arial"/>
          <w:szCs w:val="20"/>
        </w:rPr>
        <w:t xml:space="preserve"> or granted, as the case may be, in accordance with </w:t>
      </w:r>
      <w:r>
        <w:t>Section</w:t>
      </w:r>
      <w:r>
        <w:rPr>
          <w:rFonts w:cs="Arial"/>
          <w:szCs w:val="20"/>
        </w:rPr>
        <w:t xml:space="preserve"> 5.3.1 (</w:t>
      </w:r>
      <w:r>
        <w:rPr>
          <w:rFonts w:cs="Arial"/>
          <w:i/>
          <w:iCs/>
          <w:szCs w:val="20"/>
        </w:rPr>
        <w:t>Interim Period</w:t>
      </w:r>
      <w:r>
        <w:rPr>
          <w:rFonts w:cs="Arial"/>
          <w:szCs w:val="20"/>
        </w:rPr>
        <w:t>) promptly upon the execution and delivery thereof by the parties thereto or the granting thereof, as applicable.</w:t>
      </w:r>
    </w:p>
    <w:p w:rsidRPr="00C83DF3" w:rsidR="002406CB" w:rsidP="00B71D5E" w:rsidRDefault="002406CB" w14:paraId="410F17BF" w14:textId="77777777">
      <w:pPr>
        <w:pStyle w:val="zGTC03"/>
        <w:rPr>
          <w:rFonts w:cs="Arial"/>
        </w:rPr>
      </w:pPr>
      <w:r>
        <w:rPr>
          <w:rFonts w:cs="Arial"/>
          <w:b/>
          <w:bCs/>
          <w:szCs w:val="20"/>
        </w:rPr>
        <w:t>Financial Statements.</w:t>
      </w:r>
      <w:r>
        <w:rPr>
          <w:rFonts w:cs="Arial"/>
          <w:szCs w:val="20"/>
        </w:rPr>
        <w:t xml:space="preserve"> During the Interim Period, within 45 days after the end of each fiscal quarter, Seller will and will cause Seller Guarantor to provide an unaudited balance sheet, and the related statements of operations and comprehensive income and statements of members’ equity and cash flows, as of and for the three-month period then ended.</w:t>
      </w:r>
    </w:p>
    <w:p w:rsidRPr="00C83DF3" w:rsidR="00A7794B" w:rsidP="00A7794B" w:rsidRDefault="00A7794B" w14:paraId="7B0ED233" w14:textId="066EE9FE">
      <w:pPr>
        <w:pStyle w:val="zGTC03"/>
      </w:pPr>
      <w:r>
        <w:rPr>
          <w:b/>
          <w:bCs/>
          <w:szCs w:val="20"/>
        </w:rPr>
        <w:t>Transitional Matters.</w:t>
      </w:r>
      <w:r>
        <w:rPr>
          <w:szCs w:val="20"/>
        </w:rPr>
        <w:t xml:space="preserve">  </w:t>
      </w:r>
      <w:r>
        <w:t>Despite Section 5.3.1 (</w:t>
      </w:r>
      <w:r>
        <w:rPr>
          <w:i/>
          <w:iCs/>
        </w:rPr>
        <w:t>Interim Period</w:t>
      </w:r>
      <w:r>
        <w:t>), during the Interim Period, GPC and Seller will use commercially reasonable efforts to coordinate efforts to plan and facilitate the orderly and timely transition of the Facility to GPC at Closing in a manner consistent with the terms of this APA and applicable law, including the transition matters relating to procurement, information technology systems, accounting systems, bank accounts, facilities management, those activities addressed in Section 5.19 (</w:t>
      </w:r>
      <w:r>
        <w:rPr>
          <w:i/>
          <w:iCs/>
        </w:rPr>
        <w:t>Transfer of Facility to GPC Following Closing</w:t>
      </w:r>
      <w:r>
        <w:t>), Books and Records, and any other transition activities as reasonably requested by GPC, which may include: (i) Seller’s alteration of certain purchasing or procurement activities (except as otherwise reasonably required in an emergency situation) beginning a reasonable period (not to exceed two weeks) before Closing in anticipation of GPC’s implementation of certain system-wide procurement arrangements on and after Closing; (ii) allowing GPC to stage information technology equipment at the Facility site no earlier than five days before the Closing to prepare for the transition to GPC’s information technology systems on the Closing Date; and (iii) permitting GPC and its authorized Representatives to contact Facility suppliers (with prior notice to Seller) a reasonable time before Closing to discuss the Facility and obtain new or replacement Form W-9s (or comparable documentation) from such suppliers.</w:t>
      </w:r>
    </w:p>
    <w:p w:rsidRPr="00C83DF3" w:rsidR="0029492C" w:rsidP="00B71D5E" w:rsidRDefault="0029492C" w14:paraId="02A2EA3D" w14:textId="77777777">
      <w:pPr>
        <w:pStyle w:val="zGTC02"/>
        <w:rPr>
          <w:rFonts w:ascii="Arial" w:hAnsi="Arial" w:cs="Arial"/>
          <w:vanish/>
          <w:specVanish/>
        </w:rPr>
      </w:pPr>
      <w:bookmarkStart w:name="_Toc138350393" w:id="300"/>
      <w:bookmarkStart w:name="_Toc143607239" w:id="301"/>
      <w:bookmarkStart w:name="_Toc181639449" w:id="302"/>
      <w:bookmarkStart w:name="_Toc214644769" w:id="303"/>
      <w:r>
        <w:rPr>
          <w:rFonts w:ascii="Arial" w:hAnsi="Arial" w:cs="Arial"/>
        </w:rPr>
        <w:t>Termination of Intercompany Obligations and Affiliate Arrangements.</w:t>
      </w:r>
      <w:bookmarkEnd w:id="300"/>
      <w:bookmarkEnd w:id="301"/>
      <w:bookmarkEnd w:id="302"/>
      <w:bookmarkEnd w:id="303"/>
    </w:p>
    <w:p w:rsidRPr="00C83DF3" w:rsidR="0029492C" w:rsidP="00B71D5E" w:rsidRDefault="0029492C" w14:paraId="3F00D571" w14:textId="300A27A9">
      <w:pPr>
        <w:pStyle w:val="zGNormal"/>
        <w:spacing w:after="120"/>
      </w:pPr>
      <w:r>
        <w:t xml:space="preserve"> Except as set forth on Section 5.4 of the Seller Disclosure Schedule (solely regarding subpart (ii) of this Section 5.4 (</w:t>
      </w:r>
      <w:r>
        <w:rPr>
          <w:i/>
          <w:iCs/>
        </w:rPr>
        <w:t>Termination of Intercompany Obligations and Affiliate Arrangements</w:t>
      </w:r>
      <w:r>
        <w:t xml:space="preserve">) or otherwise consented to in writing by GPC </w:t>
      </w:r>
      <w:r w:rsidR="0090318B">
        <w:t xml:space="preserve">before </w:t>
      </w:r>
      <w:r>
        <w:t xml:space="preserve">the Closing, at or </w:t>
      </w:r>
      <w:r w:rsidR="0090318B">
        <w:t>before</w:t>
      </w:r>
      <w:r>
        <w:t xml:space="preserve"> the Closing, Seller will cause: (i) all Liabilities between or among Seller, on the one hand, and any of its Affiliates, on the other hand, relating to pre-Closing matters to be settled and released by causing the Liabilities to be either, at Seller’s option: (a) paid and discharged, including by netting of payables and receivables; or (b) cancelled, forgiven, or released; and (ii) all Affiliate Arrangements to be terminated, in the case of each of clauses (i) and (ii), without further force or effect, or Liability to GPC (either directly or indirectly through ownership of the Facility Assets), from and after the Closing.</w:t>
      </w:r>
    </w:p>
    <w:p w:rsidRPr="00C83DF3" w:rsidR="0029492C" w:rsidP="00026F29" w:rsidRDefault="0029492C" w14:paraId="1E091B22" w14:textId="77777777">
      <w:pPr>
        <w:pStyle w:val="zGTC02"/>
        <w:keepNext/>
        <w:keepLines/>
        <w:rPr>
          <w:rFonts w:ascii="Arial" w:hAnsi="Arial" w:cs="Arial"/>
        </w:rPr>
      </w:pPr>
      <w:bookmarkStart w:name="_Toc138350394" w:id="304"/>
      <w:bookmarkStart w:name="_Toc143607240" w:id="305"/>
      <w:bookmarkStart w:name="_Toc181639450" w:id="306"/>
      <w:bookmarkStart w:name="_Toc214644770" w:id="307"/>
      <w:proofErr w:type="gramStart"/>
      <w:r>
        <w:rPr>
          <w:rFonts w:ascii="Arial" w:hAnsi="Arial" w:cs="Arial"/>
        </w:rPr>
        <w:lastRenderedPageBreak/>
        <w:t>Confidentiality;</w:t>
      </w:r>
      <w:proofErr w:type="gramEnd"/>
      <w:r>
        <w:rPr>
          <w:rFonts w:ascii="Arial" w:hAnsi="Arial" w:cs="Arial"/>
        </w:rPr>
        <w:t xml:space="preserve"> Public Statements or Press Releases.</w:t>
      </w:r>
      <w:bookmarkEnd w:id="304"/>
      <w:bookmarkEnd w:id="305"/>
      <w:bookmarkEnd w:id="306"/>
      <w:bookmarkEnd w:id="307"/>
    </w:p>
    <w:p w:rsidRPr="00C83DF3" w:rsidR="00A60810" w:rsidP="00026F29" w:rsidRDefault="00A60810" w14:paraId="5E62B1FB" w14:textId="77777777">
      <w:pPr>
        <w:pStyle w:val="zGTC03"/>
        <w:keepNext/>
        <w:keepLines/>
        <w:tabs>
          <w:tab w:val="clear" w:pos="1368"/>
          <w:tab w:val="num" w:pos="1530"/>
        </w:tabs>
        <w:rPr>
          <w:rFonts w:cs="Arial"/>
        </w:rPr>
      </w:pPr>
      <w:r>
        <w:rPr>
          <w:rFonts w:cs="Arial"/>
          <w:b/>
          <w:bCs/>
        </w:rPr>
        <w:t>Non-Disclosure.</w:t>
      </w:r>
      <w:r>
        <w:rPr>
          <w:rFonts w:cs="Arial"/>
        </w:rPr>
        <w:t xml:space="preserve"> Each Party acknowledges that portions of this APA contain Confidential Information and may require the Parties to disclose additional Confidential Information to one another. Each Party agrees that it will not, without the written consent of the other Party or as otherwise provided in this APA, disclose a disclosing Party’s Confidential Information to any third party, except that receiving Party may disclose Confidential Information: (i) to its Affiliates, consultants, agents, and advisors who (a) need to know the information in connection with the receiving Party’s performance of its obligations under this APA; and (b) are subject to a contractual obligation to maintain the confidentiality of Confidential Information; and (ii) to the extent required by applicable </w:t>
      </w:r>
      <w:r>
        <w:t>law</w:t>
      </w:r>
      <w:r>
        <w:rPr>
          <w:rFonts w:cs="Arial"/>
        </w:rPr>
        <w:t>. Seller acknowledges and agrees that the terms of this APA, and all price and payment information provided by GPC to Seller are Confidential Information.</w:t>
      </w:r>
    </w:p>
    <w:p w:rsidRPr="00C83DF3" w:rsidR="00A60810" w:rsidP="00B71D5E" w:rsidRDefault="00A60810" w14:paraId="0B52C0BB" w14:textId="77777777">
      <w:pPr>
        <w:pStyle w:val="zGTC03"/>
        <w:tabs>
          <w:tab w:val="clear" w:pos="1368"/>
          <w:tab w:val="num" w:pos="1620"/>
        </w:tabs>
        <w:rPr>
          <w:rFonts w:cs="Arial"/>
        </w:rPr>
      </w:pPr>
      <w:r>
        <w:rPr>
          <w:rFonts w:cs="Arial"/>
          <w:b/>
          <w:bCs/>
        </w:rPr>
        <w:t>Disclosure of Confidential Information to the Commission.</w:t>
      </w:r>
      <w:r>
        <w:rPr>
          <w:rFonts w:cs="Arial"/>
        </w:rPr>
        <w:t xml:space="preserve"> Each Party agrees to request confidential treatment of the Confidential Information in this APA from the Commission in accordance with the Commission’s rule regarding trade secrets, but Seller understands that certain terms, conditions, and provisions of this APA may need to be disclosed in connection with GPC’s regulatory obligations before the Commission. GPC makes no assurance or commitment regarding the ability of GPC to obtain confidential treatment from the Commission. The Parties agree that if Confidential Information is required to be disclosed pursuant to applicable </w:t>
      </w:r>
      <w:r>
        <w:t>law</w:t>
      </w:r>
      <w:r>
        <w:rPr>
          <w:rFonts w:cs="Arial"/>
        </w:rPr>
        <w:t xml:space="preserve">, the Disclosing Party will make reasonable efforts to obtain protection from disclosure pursuant to the </w:t>
      </w:r>
      <w:proofErr w:type="gramStart"/>
      <w:r>
        <w:rPr>
          <w:rFonts w:cs="Arial"/>
        </w:rPr>
        <w:t>trade secret</w:t>
      </w:r>
      <w:proofErr w:type="gramEnd"/>
      <w:r>
        <w:rPr>
          <w:rFonts w:cs="Arial"/>
        </w:rPr>
        <w:t xml:space="preserve"> provisions applicable to the Governmental Authority or court to ensure that the Confidential Information is protected from public disclosure.</w:t>
      </w:r>
    </w:p>
    <w:p w:rsidRPr="00C83DF3" w:rsidR="00A60810" w:rsidP="00B71D5E" w:rsidRDefault="00A60810" w14:paraId="00B8718C" w14:textId="77777777">
      <w:pPr>
        <w:pStyle w:val="zGTC03"/>
        <w:tabs>
          <w:tab w:val="clear" w:pos="1368"/>
          <w:tab w:val="num" w:pos="1620"/>
        </w:tabs>
        <w:rPr>
          <w:rFonts w:eastAsia="PMingLiU" w:cs="Arial"/>
        </w:rPr>
      </w:pPr>
      <w:r>
        <w:rPr>
          <w:rFonts w:eastAsia="PMingLiU" w:cs="Arial"/>
          <w:b/>
          <w:bCs/>
        </w:rPr>
        <w:t>Survival of Confidentiality Obligations.</w:t>
      </w:r>
      <w:r>
        <w:rPr>
          <w:rFonts w:eastAsia="PMingLiU" w:cs="Arial"/>
        </w:rPr>
        <w:t xml:space="preserve"> Despite any other provision in this APA, this Section 5.5 (</w:t>
      </w:r>
      <w:r>
        <w:rPr>
          <w:rFonts w:eastAsia="PMingLiU" w:cs="Arial"/>
          <w:i/>
          <w:iCs/>
        </w:rPr>
        <w:t>Confidentiality; Public Statements or Press Releases</w:t>
      </w:r>
      <w:r>
        <w:rPr>
          <w:rFonts w:eastAsia="PMingLiU" w:cs="Arial"/>
        </w:rPr>
        <w:t>) will survive for a period of two years after the termination or expiration of this APA, except that, to the extent any Confidential Information constitutes a “</w:t>
      </w:r>
      <w:r>
        <w:rPr>
          <w:rFonts w:eastAsia="PMingLiU" w:cs="Arial"/>
          <w:b/>
        </w:rPr>
        <w:t>trade</w:t>
      </w:r>
      <w:r>
        <w:rPr>
          <w:rFonts w:eastAsia="PMingLiU" w:cs="Arial"/>
        </w:rPr>
        <w:t xml:space="preserve"> </w:t>
      </w:r>
      <w:r>
        <w:rPr>
          <w:rFonts w:eastAsia="PMingLiU" w:cs="Arial"/>
          <w:b/>
        </w:rPr>
        <w:t>secret</w:t>
      </w:r>
      <w:r>
        <w:rPr>
          <w:rFonts w:eastAsia="PMingLiU" w:cs="Arial"/>
        </w:rPr>
        <w:t xml:space="preserve">” under any applicable </w:t>
      </w:r>
      <w:r>
        <w:t>law</w:t>
      </w:r>
      <w:r>
        <w:rPr>
          <w:rFonts w:eastAsia="PMingLiU" w:cs="Arial"/>
        </w:rPr>
        <w:t xml:space="preserve"> the Receiving Party’s obligations under Section 5.5 will apply for the life of the trade secret.</w:t>
      </w:r>
    </w:p>
    <w:p w:rsidRPr="00C83DF3" w:rsidR="00A60810" w:rsidP="00B71D5E" w:rsidRDefault="00A60810" w14:paraId="3EE8B065" w14:textId="77777777">
      <w:pPr>
        <w:pStyle w:val="zGTC03"/>
        <w:rPr>
          <w:rFonts w:cs="Arial"/>
          <w:vanish/>
          <w:specVanish/>
        </w:rPr>
      </w:pPr>
      <w:bookmarkStart w:name="_Toc137409372" w:id="308"/>
      <w:bookmarkStart w:name="_Toc140666021" w:id="309"/>
      <w:bookmarkStart w:name="_Toc379477348" w:id="310"/>
      <w:r>
        <w:rPr>
          <w:rFonts w:cs="Arial"/>
          <w:b/>
          <w:bCs/>
        </w:rPr>
        <w:t>Public Statements or Press Releases.</w:t>
      </w:r>
      <w:bookmarkEnd w:id="308"/>
      <w:bookmarkEnd w:id="309"/>
    </w:p>
    <w:p w:rsidRPr="00C83DF3" w:rsidR="00A60810" w:rsidP="00B71D5E" w:rsidRDefault="00A60810" w14:paraId="7FC3F6CB" w14:textId="77777777">
      <w:pPr>
        <w:pStyle w:val="zGNormal"/>
        <w:spacing w:after="120"/>
      </w:pPr>
      <w:r>
        <w:t xml:space="preserve"> Neither Seller nor any of its Affiliates will issue any public statement (including any news release, internet, website, social media posting, or other publication) concerning: (i) this APA or the transactions described in this APA; (ii) the Facility with respect to this APA; or (iii) Seller’s relationship with GPC, in each case, without the communication first being reviewed and agreed upon by GPC before any release to the public. In addition, Seller is responsible for ensuring that its contractors, Affiliates, and contractual counterparties, and each of their respective employees, contractors, and agents, fully comply with </w:t>
      </w:r>
      <w:proofErr w:type="gramStart"/>
      <w:r>
        <w:t>this Section</w:t>
      </w:r>
      <w:proofErr w:type="gramEnd"/>
      <w:r>
        <w:t xml:space="preserve"> 5.5.4 (</w:t>
      </w:r>
      <w:r>
        <w:rPr>
          <w:i/>
        </w:rPr>
        <w:t>Public Statements or Press Releases</w:t>
      </w:r>
      <w:r>
        <w:t>).</w:t>
      </w:r>
      <w:bookmarkEnd w:id="310"/>
    </w:p>
    <w:p w:rsidRPr="00C83DF3" w:rsidR="0029492C" w:rsidP="00B71D5E" w:rsidRDefault="0029492C" w14:paraId="1BDFC8D4" w14:textId="77777777">
      <w:pPr>
        <w:pStyle w:val="zGTC02"/>
        <w:rPr>
          <w:rFonts w:ascii="Arial" w:hAnsi="Arial" w:cs="Arial"/>
          <w:vanish/>
          <w:specVanish/>
        </w:rPr>
      </w:pPr>
      <w:bookmarkStart w:name="_Toc138350395" w:id="311"/>
      <w:bookmarkStart w:name="_Toc143607241" w:id="312"/>
      <w:bookmarkStart w:name="_Toc181639451" w:id="313"/>
      <w:bookmarkStart w:name="_Toc214644771" w:id="314"/>
      <w:r>
        <w:rPr>
          <w:rFonts w:ascii="Arial" w:hAnsi="Arial" w:cs="Arial"/>
        </w:rPr>
        <w:t>Expenses.</w:t>
      </w:r>
      <w:bookmarkEnd w:id="311"/>
      <w:bookmarkEnd w:id="312"/>
      <w:bookmarkEnd w:id="313"/>
      <w:bookmarkEnd w:id="314"/>
    </w:p>
    <w:p w:rsidRPr="00C83DF3" w:rsidR="0029492C" w:rsidP="00CC4D4D" w:rsidRDefault="0029492C" w14:paraId="732822E3" w14:textId="77777777">
      <w:pPr>
        <w:pStyle w:val="zGNormal6"/>
      </w:pPr>
      <w:r>
        <w:t xml:space="preserve"> Except as otherwise expressly provided in this APA (including Section 5.9 (</w:t>
      </w:r>
      <w:r>
        <w:rPr>
          <w:i/>
          <w:iCs/>
        </w:rPr>
        <w:t>Required Seller Payments</w:t>
      </w:r>
      <w:r>
        <w:t>)), whether or not the transactions contemplated by this APA are consummated, all costs and expenses incurred in anticipation of, relating to, and in connection with the negotiation and execution of this APA and the consummation of the transactions contemplated by this APA and the Transaction Documents will be paid by the Party incurring the costs and expenses. Despite the preceding sentence, each Party will pay filing fees required by any Governmental Authority as set forth in Section 6.1.3(v) (</w:t>
      </w:r>
      <w:r>
        <w:rPr>
          <w:i/>
          <w:iCs/>
        </w:rPr>
        <w:t>Fee Responsibility</w:t>
      </w:r>
      <w:r>
        <w:t>), and Seller will pay any additional filing fee required by any Governmental Authority regarding any Consents required to be obtained or made in accordance with this APA.</w:t>
      </w:r>
    </w:p>
    <w:p w:rsidRPr="00C83DF3" w:rsidR="0029492C" w:rsidP="00B71D5E" w:rsidRDefault="0029492C" w14:paraId="65CF4F4E" w14:textId="77777777">
      <w:pPr>
        <w:pStyle w:val="zGTC02"/>
        <w:rPr>
          <w:rFonts w:ascii="Arial" w:hAnsi="Arial" w:cs="Arial"/>
        </w:rPr>
      </w:pPr>
      <w:bookmarkStart w:name="_Toc138350396" w:id="315"/>
      <w:bookmarkStart w:name="_Toc143607242" w:id="316"/>
      <w:bookmarkStart w:name="_Toc181639452" w:id="317"/>
      <w:bookmarkStart w:name="_Toc214644772" w:id="318"/>
      <w:r>
        <w:rPr>
          <w:rFonts w:ascii="Arial" w:hAnsi="Arial" w:cs="Arial"/>
        </w:rPr>
        <w:t>Further Assurances.</w:t>
      </w:r>
      <w:bookmarkEnd w:id="315"/>
      <w:bookmarkEnd w:id="316"/>
      <w:bookmarkEnd w:id="317"/>
      <w:bookmarkEnd w:id="318"/>
      <w:r>
        <w:rPr>
          <w:rFonts w:ascii="Arial" w:hAnsi="Arial" w:cs="Arial"/>
        </w:rPr>
        <w:t xml:space="preserve"> </w:t>
      </w:r>
    </w:p>
    <w:p w:rsidRPr="00C83DF3" w:rsidR="0029492C" w:rsidP="00B71D5E" w:rsidRDefault="00AC5909" w14:paraId="5D225274" w14:textId="48E12456">
      <w:pPr>
        <w:pStyle w:val="zGTC03"/>
        <w:rPr>
          <w:rFonts w:cs="Arial"/>
        </w:rPr>
      </w:pPr>
      <w:r>
        <w:rPr>
          <w:rFonts w:cs="Arial"/>
          <w:b/>
          <w:bCs/>
        </w:rPr>
        <w:t>Further Actions.</w:t>
      </w:r>
      <w:r>
        <w:rPr>
          <w:rFonts w:cs="Arial"/>
        </w:rPr>
        <w:t xml:space="preserve"> </w:t>
      </w:r>
      <w:r w:rsidR="0090318B">
        <w:rPr>
          <w:rFonts w:cs="Arial"/>
        </w:rPr>
        <w:t>Before</w:t>
      </w:r>
      <w:r>
        <w:rPr>
          <w:rFonts w:cs="Arial"/>
        </w:rPr>
        <w:t xml:space="preserve"> the Closing, each Party will, and will cause its respective Affiliates and Representatives to, cooperate and use their respective commercially reasonable efforts to take, or cause to be taken, all actions, and to do, or cause to be done, all things reasonably necessary or advisable under applicable </w:t>
      </w:r>
      <w:r>
        <w:t>law</w:t>
      </w:r>
      <w:r>
        <w:rPr>
          <w:rFonts w:cs="Arial"/>
        </w:rPr>
        <w:t>s and regulations, or otherwise to consummate and make effective the transactions contemplated by this APA as soon as practicable and to take the actions or do the things as the other Party may reasonably request to cause any of the conditions to the other Party’s obligation to consummate the transactions specified in Part 6 (</w:t>
      </w:r>
      <w:r>
        <w:rPr>
          <w:rFonts w:cs="Arial"/>
          <w:i/>
          <w:iCs/>
        </w:rPr>
        <w:t>Conditions Precedent</w:t>
      </w:r>
      <w:r>
        <w:rPr>
          <w:rFonts w:cs="Arial"/>
        </w:rPr>
        <w:t>) to be fully satisfied.</w:t>
      </w:r>
    </w:p>
    <w:p w:rsidRPr="00C83DF3" w:rsidR="0029492C" w:rsidP="00B71D5E" w:rsidRDefault="00AC5909" w14:paraId="08C2144B" w14:textId="77777777">
      <w:pPr>
        <w:pStyle w:val="zGTC03"/>
        <w:rPr>
          <w:rFonts w:cs="Arial"/>
        </w:rPr>
      </w:pPr>
      <w:r>
        <w:rPr>
          <w:rFonts w:cs="Arial"/>
          <w:b/>
          <w:bCs/>
          <w:szCs w:val="20"/>
        </w:rPr>
        <w:t>Further Instruments.</w:t>
      </w:r>
      <w:r>
        <w:rPr>
          <w:rFonts w:cs="Arial"/>
          <w:szCs w:val="20"/>
        </w:rPr>
        <w:t xml:space="preserve"> Each Party agrees that from time to time after the Closing, it will execute and deliver or cause their respective Affiliates to execute and deliver further instruments, and take (or cause their respective Affiliates to take) other actions, as may be reasonably necessary or advisable to carry out the purposes and intents of this APA and the other Transaction Documents.</w:t>
      </w:r>
    </w:p>
    <w:p w:rsidRPr="00C83DF3" w:rsidR="0029492C" w:rsidP="00B71D5E" w:rsidRDefault="0029492C" w14:paraId="18914728" w14:textId="77777777">
      <w:pPr>
        <w:pStyle w:val="zGTC02"/>
        <w:rPr>
          <w:rFonts w:ascii="Arial" w:hAnsi="Arial" w:cs="Arial"/>
          <w:vanish/>
          <w:specVanish/>
        </w:rPr>
      </w:pPr>
      <w:bookmarkStart w:name="_Toc138350397" w:id="319"/>
      <w:bookmarkStart w:name="_Toc143607243" w:id="320"/>
      <w:bookmarkStart w:name="_Toc181639453" w:id="321"/>
      <w:bookmarkStart w:name="_Toc214644773" w:id="322"/>
      <w:r>
        <w:rPr>
          <w:rFonts w:ascii="Arial" w:hAnsi="Arial" w:cs="Arial"/>
        </w:rPr>
        <w:t>Exclusivity.</w:t>
      </w:r>
      <w:bookmarkEnd w:id="319"/>
      <w:bookmarkEnd w:id="320"/>
      <w:bookmarkEnd w:id="321"/>
      <w:bookmarkEnd w:id="322"/>
    </w:p>
    <w:p w:rsidRPr="00C83DF3" w:rsidR="006A480A" w:rsidP="00B71D5E" w:rsidRDefault="0029492C" w14:paraId="18638F11" w14:textId="77777777">
      <w:pPr>
        <w:pStyle w:val="zGNormal"/>
        <w:spacing w:after="120"/>
      </w:pPr>
      <w:r>
        <w:t xml:space="preserve"> From and after the Effective Date until the earlier of: (i) 90 days after the termination of this APA in accordance with Part 10 (</w:t>
      </w:r>
      <w:r>
        <w:rPr>
          <w:i/>
          <w:iCs/>
        </w:rPr>
        <w:t>Miscellaneous</w:t>
      </w:r>
      <w:r>
        <w:t xml:space="preserve">); and (ii) the Closing Date, none of Seller, Seller’s Affiliates, or any of their respective Representatives, or anyone acting on behalf of them, will, directly or indirectly: (a) </w:t>
      </w:r>
      <w:r>
        <w:lastRenderedPageBreak/>
        <w:t>encourage, solicit, or initiate, any discussions or negotiations with; or (b) provide any information to, any Person (other than GPC or its Representatives); (c) engage in discussions or negotiations with any Person other than GPC with respect to any Acquisition Proposal or an inquiry or indication of interest that could lead to an Acquisition Proposal; (d) accept any offer or respond to any indications of interest from any Person, or enter into an agreement, arrangement, or understanding with any Person other than GPC or its Affiliates, in each case, concerning any Acquisition Proposal. In the event Seller, any of its Affiliates, or any of its Representatives receives any Acquisition Proposal by any Person other than GPC, Seller will: (I) immediately notify GPC of receipt of the Acquisition Proposal; (II) disclose the details of the Acquisition Proposal to GPC and provide copies of any written materials related to the Acquisition Proposal; and (III) immediately inform all third parties making the Acquisition Proposal of the covenants and prohibitions set forth in this Section 5.8 (</w:t>
      </w:r>
      <w:r>
        <w:rPr>
          <w:i/>
          <w:iCs/>
        </w:rPr>
        <w:t>Exclusivity</w:t>
      </w:r>
      <w:r>
        <w:t>).</w:t>
      </w:r>
    </w:p>
    <w:p w:rsidRPr="00C83DF3" w:rsidR="0029492C" w:rsidP="00B71D5E" w:rsidRDefault="0029492C" w14:paraId="3E74483B" w14:textId="77777777">
      <w:pPr>
        <w:pStyle w:val="zGTC02"/>
        <w:rPr>
          <w:rFonts w:ascii="Arial" w:hAnsi="Arial" w:cs="Arial"/>
        </w:rPr>
      </w:pPr>
      <w:bookmarkStart w:name="_Toc138350398" w:id="323"/>
      <w:bookmarkStart w:name="_Toc143607244" w:id="324"/>
      <w:bookmarkStart w:name="_Toc181639454" w:id="325"/>
      <w:bookmarkStart w:name="_Toc214644774" w:id="326"/>
      <w:r>
        <w:rPr>
          <w:rFonts w:ascii="Arial" w:hAnsi="Arial" w:cs="Arial"/>
        </w:rPr>
        <w:t>Required Seller Payments.</w:t>
      </w:r>
      <w:bookmarkEnd w:id="323"/>
      <w:bookmarkEnd w:id="324"/>
      <w:bookmarkEnd w:id="325"/>
      <w:bookmarkEnd w:id="326"/>
    </w:p>
    <w:p w:rsidRPr="00C83DF3" w:rsidR="0029492C" w:rsidP="00B71D5E" w:rsidRDefault="00892A0B" w14:paraId="0E03DD19" w14:textId="3DB97DEB">
      <w:pPr>
        <w:pStyle w:val="zGTC03"/>
        <w:rPr>
          <w:rFonts w:cs="Arial"/>
        </w:rPr>
      </w:pPr>
      <w:r>
        <w:rPr>
          <w:rFonts w:cs="Arial"/>
          <w:b/>
          <w:bCs/>
        </w:rPr>
        <w:t xml:space="preserve">Itemized </w:t>
      </w:r>
      <w:r>
        <w:rPr>
          <w:rFonts w:cs="Arial"/>
          <w:b/>
        </w:rPr>
        <w:t xml:space="preserve">Seller </w:t>
      </w:r>
      <w:r>
        <w:rPr>
          <w:rFonts w:cs="Arial"/>
          <w:b/>
          <w:bCs/>
        </w:rPr>
        <w:t xml:space="preserve">Payments. </w:t>
      </w:r>
      <w:r>
        <w:rPr>
          <w:rFonts w:cs="Arial"/>
        </w:rPr>
        <w:t xml:space="preserve">Seller will be solely responsible for, and will pay, all costs and expenses associated with any of the items set forth </w:t>
      </w:r>
      <w:proofErr w:type="gramStart"/>
      <w:r>
        <w:rPr>
          <w:rFonts w:cs="Arial"/>
        </w:rPr>
        <w:t>on</w:t>
      </w:r>
      <w:proofErr w:type="gramEnd"/>
      <w:r>
        <w:rPr>
          <w:rFonts w:cs="Arial"/>
        </w:rPr>
        <w:t xml:space="preserve"> </w:t>
      </w:r>
      <w:r w:rsidR="007D3648">
        <w:rPr>
          <w:rFonts w:cs="Arial"/>
        </w:rPr>
        <w:t>Section</w:t>
      </w:r>
      <w:r>
        <w:rPr>
          <w:rFonts w:cs="Arial"/>
        </w:rPr>
        <w:t xml:space="preserve"> 5.9</w:t>
      </w:r>
      <w:r w:rsidR="006750A8">
        <w:rPr>
          <w:rFonts w:cs="Arial"/>
        </w:rPr>
        <w:t>.1</w:t>
      </w:r>
      <w:r>
        <w:rPr>
          <w:rFonts w:cs="Arial"/>
        </w:rPr>
        <w:t xml:space="preserve"> </w:t>
      </w:r>
      <w:r w:rsidR="007D3648">
        <w:rPr>
          <w:rFonts w:cs="Arial"/>
        </w:rPr>
        <w:t>of the Seller Disclosure Schedule</w:t>
      </w:r>
      <w:r>
        <w:rPr>
          <w:rFonts w:cs="Arial"/>
        </w:rPr>
        <w:t>.</w:t>
      </w:r>
    </w:p>
    <w:p w:rsidRPr="00C83DF3" w:rsidR="0029492C" w:rsidP="00B71D5E" w:rsidRDefault="00892A0B" w14:paraId="4545BD82" w14:textId="5FBAD3FF">
      <w:pPr>
        <w:pStyle w:val="zGTC03"/>
        <w:rPr>
          <w:rFonts w:cs="Arial"/>
        </w:rPr>
      </w:pPr>
      <w:r>
        <w:rPr>
          <w:rFonts w:cs="Arial"/>
          <w:b/>
          <w:bCs/>
          <w:szCs w:val="20"/>
        </w:rPr>
        <w:t xml:space="preserve">Additional Seller Payments. </w:t>
      </w:r>
      <w:r>
        <w:rPr>
          <w:rFonts w:cs="Arial"/>
          <w:szCs w:val="20"/>
        </w:rPr>
        <w:t xml:space="preserve">Without limiting </w:t>
      </w:r>
      <w:r>
        <w:t>Section</w:t>
      </w:r>
      <w:r>
        <w:rPr>
          <w:rFonts w:cs="Arial"/>
          <w:szCs w:val="20"/>
        </w:rPr>
        <w:t xml:space="preserve"> 5.9.1 (</w:t>
      </w:r>
      <w:r>
        <w:rPr>
          <w:rFonts w:cs="Arial"/>
          <w:i/>
          <w:iCs/>
          <w:szCs w:val="20"/>
        </w:rPr>
        <w:t>Itemized Seller Payments</w:t>
      </w:r>
      <w:r>
        <w:rPr>
          <w:rFonts w:cs="Arial"/>
          <w:szCs w:val="20"/>
        </w:rPr>
        <w:t xml:space="preserve">), Seller will be solely responsible for, and will pay, all costs and expenses required for, or incurred in connection with, the development, design, engineering, construction, interconnection, commissioning, completion, ownership, operation, maintenance, repair, and use of the Facility (including, for the avoidance of doubt, accrued property taxes and easement payments) to the extent the costs and expenses arise or are incurred at or </w:t>
      </w:r>
      <w:r w:rsidR="0090318B">
        <w:rPr>
          <w:rFonts w:cs="Arial"/>
          <w:szCs w:val="20"/>
        </w:rPr>
        <w:t>before</w:t>
      </w:r>
      <w:r>
        <w:rPr>
          <w:rFonts w:cs="Arial"/>
          <w:szCs w:val="20"/>
        </w:rPr>
        <w:t xml:space="preserve"> the Closing, or are otherwise allocable to activities performed at or </w:t>
      </w:r>
      <w:r w:rsidR="0090318B">
        <w:rPr>
          <w:rFonts w:cs="Arial"/>
          <w:szCs w:val="20"/>
        </w:rPr>
        <w:t>before</w:t>
      </w:r>
      <w:r>
        <w:rPr>
          <w:rFonts w:cs="Arial"/>
          <w:szCs w:val="20"/>
        </w:rPr>
        <w:t xml:space="preserve"> the Closing.</w:t>
      </w:r>
    </w:p>
    <w:p w:rsidRPr="000D570D" w:rsidR="0029492C" w:rsidP="00B71D5E" w:rsidRDefault="00892A0B" w14:paraId="1F83EB43" w14:textId="119E3850">
      <w:pPr>
        <w:pStyle w:val="zGTC03"/>
        <w:rPr>
          <w:rFonts w:cs="Arial"/>
        </w:rPr>
      </w:pPr>
      <w:r>
        <w:rPr>
          <w:rFonts w:cs="Arial"/>
          <w:b/>
          <w:bCs/>
          <w:szCs w:val="20"/>
        </w:rPr>
        <w:t xml:space="preserve">Payment. </w:t>
      </w:r>
      <w:r>
        <w:rPr>
          <w:rFonts w:cs="Arial"/>
          <w:szCs w:val="20"/>
        </w:rPr>
        <w:t xml:space="preserve">All costs and expenses that are the responsibility of Seller pursuant to </w:t>
      </w:r>
      <w:r>
        <w:t>Section</w:t>
      </w:r>
      <w:r>
        <w:rPr>
          <w:rFonts w:cs="Arial"/>
          <w:szCs w:val="20"/>
        </w:rPr>
        <w:t xml:space="preserve"> 5.9.1 (</w:t>
      </w:r>
      <w:r>
        <w:rPr>
          <w:rFonts w:cs="Arial"/>
          <w:i/>
          <w:iCs/>
          <w:szCs w:val="20"/>
        </w:rPr>
        <w:t>Itemized Seller Payments</w:t>
      </w:r>
      <w:r>
        <w:rPr>
          <w:rFonts w:cs="Arial"/>
          <w:szCs w:val="20"/>
        </w:rPr>
        <w:t xml:space="preserve">) or </w:t>
      </w:r>
      <w:r>
        <w:t>Section</w:t>
      </w:r>
      <w:r>
        <w:rPr>
          <w:rFonts w:cs="Arial"/>
          <w:szCs w:val="20"/>
        </w:rPr>
        <w:t xml:space="preserve"> 5.9.2 (</w:t>
      </w:r>
      <w:r>
        <w:rPr>
          <w:rFonts w:cs="Arial"/>
          <w:i/>
          <w:iCs/>
          <w:szCs w:val="20"/>
        </w:rPr>
        <w:t>Additional Seller Payments</w:t>
      </w:r>
      <w:r>
        <w:rPr>
          <w:rFonts w:cs="Arial"/>
          <w:szCs w:val="20"/>
        </w:rPr>
        <w:t xml:space="preserve">), in each case, that are due and payable at or </w:t>
      </w:r>
      <w:r w:rsidR="0090318B">
        <w:rPr>
          <w:rFonts w:cs="Arial"/>
          <w:szCs w:val="20"/>
        </w:rPr>
        <w:t>before</w:t>
      </w:r>
      <w:r>
        <w:rPr>
          <w:rFonts w:cs="Arial"/>
          <w:szCs w:val="20"/>
        </w:rPr>
        <w:t xml:space="preserve"> the Closing will be paid by Seller </w:t>
      </w:r>
      <w:r w:rsidR="0090318B">
        <w:rPr>
          <w:rFonts w:cs="Arial"/>
          <w:szCs w:val="20"/>
        </w:rPr>
        <w:t>before</w:t>
      </w:r>
      <w:r>
        <w:rPr>
          <w:rFonts w:cs="Arial"/>
          <w:szCs w:val="20"/>
        </w:rPr>
        <w:t xml:space="preserve"> or concurrently with Closing, and all costs and expenses that are the responsibility of Seller pursuant to </w:t>
      </w:r>
      <w:r>
        <w:t>Section</w:t>
      </w:r>
      <w:r>
        <w:rPr>
          <w:rFonts w:cs="Arial"/>
          <w:szCs w:val="20"/>
        </w:rPr>
        <w:t xml:space="preserve"> 5.9.1 or </w:t>
      </w:r>
      <w:r>
        <w:t>Section</w:t>
      </w:r>
      <w:r>
        <w:rPr>
          <w:rFonts w:cs="Arial"/>
          <w:szCs w:val="20"/>
        </w:rPr>
        <w:t xml:space="preserve"> 5.9.2, in each case, that are due and payable following the Closing will be paid by Seller as and when due and owing by Seller.</w:t>
      </w:r>
    </w:p>
    <w:p w:rsidRPr="00FB6026" w:rsidR="000D570D" w:rsidP="000D570D" w:rsidRDefault="000D570D" w14:paraId="096BE53D" w14:textId="77777777">
      <w:pPr>
        <w:pStyle w:val="zGTC03"/>
      </w:pPr>
      <w:r w:rsidRPr="00C13ED0">
        <w:rPr>
          <w:b/>
          <w:bCs/>
        </w:rPr>
        <w:t>Payment of Winner’s Fee</w:t>
      </w:r>
      <w:r w:rsidRPr="00043F59">
        <w:rPr>
          <w:b/>
          <w:bCs/>
        </w:rPr>
        <w:t>.</w:t>
      </w:r>
      <w:r>
        <w:t xml:space="preserve"> </w:t>
      </w:r>
      <w:r w:rsidRPr="00FB6026">
        <w:t xml:space="preserve">After the Commission approves this </w:t>
      </w:r>
      <w:r>
        <w:t>APA</w:t>
      </w:r>
      <w:r w:rsidRPr="00FB6026">
        <w:t xml:space="preserve"> through a Commission Certificate, </w:t>
      </w:r>
      <w:r>
        <w:t>GPC will calculate the winner’s fee owed by Seller per the terms of GPC’s 2026 All-Source Capacity Request for Proposals for Need Years 2032 - 2033 and notify Seller of the amount. Seller must pay the winner’s fee to GPC: (</w:t>
      </w:r>
      <w:proofErr w:type="spellStart"/>
      <w:r>
        <w:t>i</w:t>
      </w:r>
      <w:proofErr w:type="spellEnd"/>
      <w:r>
        <w:t xml:space="preserve">) within 10 Days after receipt of GPC’s notice; and (ii) following the instructions in the notice. </w:t>
      </w:r>
    </w:p>
    <w:p w:rsidRPr="00C83DF3" w:rsidR="0029492C" w:rsidP="00B71D5E" w:rsidRDefault="0029492C" w14:paraId="22E5244F" w14:textId="77777777">
      <w:pPr>
        <w:pStyle w:val="zGTC02"/>
        <w:rPr>
          <w:rFonts w:ascii="Arial" w:hAnsi="Arial" w:cs="Arial"/>
          <w:vanish/>
          <w:specVanish/>
        </w:rPr>
      </w:pPr>
      <w:bookmarkStart w:name="_Toc138350399" w:id="327"/>
      <w:bookmarkStart w:name="_Toc143607245" w:id="328"/>
      <w:bookmarkStart w:name="_Toc181639455" w:id="329"/>
      <w:bookmarkStart w:name="_Toc214644775" w:id="330"/>
      <w:r>
        <w:rPr>
          <w:rFonts w:ascii="Arial" w:hAnsi="Arial" w:cs="Arial"/>
        </w:rPr>
        <w:t>Insurance.</w:t>
      </w:r>
      <w:bookmarkEnd w:id="327"/>
      <w:bookmarkEnd w:id="328"/>
      <w:bookmarkEnd w:id="329"/>
      <w:bookmarkEnd w:id="330"/>
    </w:p>
    <w:p w:rsidRPr="00C83DF3" w:rsidR="0029492C" w:rsidP="00B71D5E" w:rsidRDefault="0029492C" w14:paraId="4BAEC2AA" w14:textId="77777777">
      <w:pPr>
        <w:pStyle w:val="zGNormal"/>
        <w:spacing w:after="120"/>
      </w:pPr>
      <w:r>
        <w:t xml:space="preserve"> Seller will maintain or cause to be maintained in full effect, through the Closing Date and, subject to the last sentence of this Section 5.10 (</w:t>
      </w:r>
      <w:r>
        <w:rPr>
          <w:i/>
          <w:iCs/>
        </w:rPr>
        <w:t>Insurance</w:t>
      </w:r>
      <w:r>
        <w:t>), for a period of years following the Closing as specified in Exhibit A-1 (</w:t>
      </w:r>
      <w:r>
        <w:rPr>
          <w:i/>
          <w:iCs/>
        </w:rPr>
        <w:t>Facility Information and Additional Details</w:t>
      </w:r>
      <w:r>
        <w:t>), the Facility Insurance Policies on substantially the same or similar terms (or obtain comparable replacement or renewal coverage). Seller must promptly notify GPC of any material claim made under any Facility Insurance Policy (or any replacement or renewal coverage) during the Interim Period. After the Closing Date, Seller’s obligation to maintain insurance is limited to the Facility Insurance Policies that are not transferred to GPC under the APA and that are “claims made” insurance policies (as specified in Section 5.10 of the Seller Disclosure Schedule).</w:t>
      </w:r>
    </w:p>
    <w:p w:rsidRPr="00C83DF3" w:rsidR="0029492C" w:rsidP="00B71D5E" w:rsidRDefault="0029492C" w14:paraId="0A6ED70B" w14:textId="77777777">
      <w:pPr>
        <w:pStyle w:val="zGTC02"/>
        <w:rPr>
          <w:rFonts w:ascii="Arial" w:hAnsi="Arial" w:cs="Arial"/>
          <w:vanish/>
          <w:specVanish/>
        </w:rPr>
      </w:pPr>
      <w:bookmarkStart w:name="_Toc138350400" w:id="331"/>
      <w:bookmarkStart w:name="_Toc143607246" w:id="332"/>
      <w:bookmarkStart w:name="_Toc181639456" w:id="333"/>
      <w:bookmarkStart w:name="_Toc214644776" w:id="334"/>
      <w:r>
        <w:rPr>
          <w:rFonts w:ascii="Arial" w:hAnsi="Arial" w:cs="Arial"/>
        </w:rPr>
        <w:t>No Encroachments.</w:t>
      </w:r>
      <w:bookmarkEnd w:id="331"/>
      <w:bookmarkEnd w:id="332"/>
      <w:bookmarkEnd w:id="333"/>
      <w:bookmarkEnd w:id="334"/>
    </w:p>
    <w:p w:rsidRPr="00C83DF3" w:rsidR="0029492C" w:rsidP="00B71D5E" w:rsidRDefault="0029492C" w14:paraId="593C67F5" w14:textId="77777777">
      <w:pPr>
        <w:pStyle w:val="zGNormal"/>
        <w:spacing w:after="120"/>
      </w:pPr>
      <w:r>
        <w:t xml:space="preserve"> Seller will cause all Improvements to be installed and constructed solely on the Facility Real Property and will not permit any encroachments on property that is not Facility Real Property.</w:t>
      </w:r>
    </w:p>
    <w:p w:rsidRPr="00C83DF3" w:rsidR="0029492C" w:rsidP="00B71D5E" w:rsidRDefault="0029492C" w14:paraId="7D6D0D39" w14:textId="77777777">
      <w:pPr>
        <w:pStyle w:val="zGTC02"/>
        <w:rPr>
          <w:rFonts w:ascii="Arial" w:hAnsi="Arial" w:cs="Arial"/>
          <w:vanish/>
          <w:specVanish/>
        </w:rPr>
      </w:pPr>
      <w:bookmarkStart w:name="_Toc138350401" w:id="335"/>
      <w:bookmarkStart w:name="_Toc143607247" w:id="336"/>
      <w:bookmarkStart w:name="_Toc181639457" w:id="337"/>
      <w:bookmarkStart w:name="_Toc214644777" w:id="338"/>
      <w:r>
        <w:rPr>
          <w:rFonts w:ascii="Arial" w:hAnsi="Arial" w:cs="Arial"/>
        </w:rPr>
        <w:t>Estoppel Letters.</w:t>
      </w:r>
      <w:bookmarkEnd w:id="335"/>
      <w:bookmarkEnd w:id="336"/>
      <w:bookmarkEnd w:id="337"/>
      <w:bookmarkEnd w:id="338"/>
    </w:p>
    <w:p w:rsidRPr="00B71D5E" w:rsidR="0029492C" w:rsidP="00B71D5E" w:rsidRDefault="0029492C" w14:paraId="5BA14123" w14:textId="1D99C74B">
      <w:pPr>
        <w:pStyle w:val="zGNormal"/>
        <w:spacing w:after="120"/>
      </w:pPr>
      <w:r>
        <w:t xml:space="preserve"> Before the Closing, Seller must use commercially reasonable efforts to obtain estoppel letters, dated not more than 60 days </w:t>
      </w:r>
      <w:r w:rsidR="0090318B">
        <w:t>before</w:t>
      </w:r>
      <w:r>
        <w:t xml:space="preserve"> the Closing Date and in form and substance reasonably satisfactory to GPC and the Title Company, executed by the landowners, easement grantors and licensors under the Real Property Agreements.</w:t>
      </w:r>
    </w:p>
    <w:p w:rsidRPr="00B71D5E" w:rsidR="0029492C" w:rsidP="00B71D5E" w:rsidRDefault="0029492C" w14:paraId="544CB840" w14:textId="77777777">
      <w:pPr>
        <w:pStyle w:val="zGTC02"/>
        <w:rPr>
          <w:rFonts w:ascii="Arial" w:hAnsi="Arial" w:cs="Arial"/>
        </w:rPr>
      </w:pPr>
      <w:bookmarkStart w:name="_Toc138350402" w:id="339"/>
      <w:bookmarkStart w:name="_Toc143607248" w:id="340"/>
      <w:bookmarkStart w:name="_Toc181639458" w:id="341"/>
      <w:bookmarkStart w:name="_Toc214644778" w:id="342"/>
      <w:proofErr w:type="gramStart"/>
      <w:r>
        <w:rPr>
          <w:rFonts w:ascii="Arial" w:hAnsi="Arial" w:cs="Arial"/>
        </w:rPr>
        <w:t>Transfer of</w:t>
      </w:r>
      <w:proofErr w:type="gramEnd"/>
      <w:r>
        <w:rPr>
          <w:rFonts w:ascii="Arial" w:hAnsi="Arial" w:cs="Arial"/>
        </w:rPr>
        <w:t xml:space="preserve"> Facility Contracts and Facility Permits.</w:t>
      </w:r>
      <w:bookmarkEnd w:id="339"/>
      <w:bookmarkEnd w:id="340"/>
      <w:bookmarkEnd w:id="341"/>
      <w:bookmarkEnd w:id="342"/>
      <w:r>
        <w:rPr>
          <w:rFonts w:ascii="Arial" w:hAnsi="Arial" w:cs="Arial"/>
        </w:rPr>
        <w:t xml:space="preserve"> </w:t>
      </w:r>
    </w:p>
    <w:p w:rsidRPr="00B71D5E" w:rsidR="0029492C" w:rsidP="00B71D5E" w:rsidRDefault="00333F22" w14:paraId="1E45559B" w14:textId="3756169E">
      <w:pPr>
        <w:pStyle w:val="zGTC03"/>
        <w:rPr>
          <w:rFonts w:cs="Arial"/>
        </w:rPr>
      </w:pPr>
      <w:r>
        <w:rPr>
          <w:rFonts w:cs="Arial"/>
          <w:b/>
          <w:bCs/>
        </w:rPr>
        <w:t>Facility Contracts.</w:t>
      </w:r>
      <w:r>
        <w:rPr>
          <w:rFonts w:cs="Arial"/>
        </w:rPr>
        <w:t xml:space="preserve"> Before the Closing Date, to the extent that the </w:t>
      </w:r>
      <w:r w:rsidR="00384F63">
        <w:rPr>
          <w:rFonts w:cs="Arial"/>
        </w:rPr>
        <w:t>c</w:t>
      </w:r>
      <w:r>
        <w:rPr>
          <w:rFonts w:cs="Arial"/>
        </w:rPr>
        <w:t>onsent of a party (other than Seller) to a Facility Contract</w:t>
      </w:r>
      <w:r w:rsidR="00384F63">
        <w:rPr>
          <w:rFonts w:cs="Arial"/>
        </w:rPr>
        <w:t xml:space="preserve"> (each, a “</w:t>
      </w:r>
      <w:r w:rsidR="00384F63">
        <w:rPr>
          <w:rFonts w:cs="Arial"/>
          <w:b/>
          <w:bCs/>
        </w:rPr>
        <w:t>Counterparty</w:t>
      </w:r>
      <w:r w:rsidR="00384F63">
        <w:rPr>
          <w:rFonts w:cs="Arial"/>
        </w:rPr>
        <w:t>”)</w:t>
      </w:r>
      <w:r>
        <w:rPr>
          <w:rFonts w:cs="Arial"/>
        </w:rPr>
        <w:t xml:space="preserve"> is required </w:t>
      </w:r>
      <w:r w:rsidR="004B1C7D">
        <w:rPr>
          <w:rFonts w:cs="Arial"/>
        </w:rPr>
        <w:t>to</w:t>
      </w:r>
      <w:r>
        <w:rPr>
          <w:rFonts w:cs="Arial"/>
        </w:rPr>
        <w:t xml:space="preserve"> transfer any Facility Contracts to GPC without violating any provision of any Facility Contract or applicable </w:t>
      </w:r>
      <w:r>
        <w:t>law</w:t>
      </w:r>
      <w:r>
        <w:rPr>
          <w:rFonts w:cs="Arial"/>
        </w:rPr>
        <w:t xml:space="preserve">: (i) Seller will use commercially reasonable efforts to obtain the written </w:t>
      </w:r>
      <w:r w:rsidR="00384F63">
        <w:rPr>
          <w:rFonts w:cs="Arial"/>
        </w:rPr>
        <w:t>c</w:t>
      </w:r>
      <w:r>
        <w:rPr>
          <w:rFonts w:cs="Arial"/>
        </w:rPr>
        <w:t>onsent (“</w:t>
      </w:r>
      <w:r>
        <w:rPr>
          <w:rFonts w:cs="Arial"/>
          <w:b/>
          <w:bCs/>
        </w:rPr>
        <w:t>Contract Consent</w:t>
      </w:r>
      <w:r>
        <w:rPr>
          <w:rFonts w:cs="Arial"/>
        </w:rPr>
        <w:t xml:space="preserve">”) of each Counterparty to the assignment </w:t>
      </w:r>
      <w:r w:rsidR="00A20144">
        <w:rPr>
          <w:rFonts w:cs="Arial"/>
        </w:rPr>
        <w:t xml:space="preserve">of the Facility Contract </w:t>
      </w:r>
      <w:r>
        <w:rPr>
          <w:rFonts w:cs="Arial"/>
        </w:rPr>
        <w:t xml:space="preserve">to GPC, and the assumption by GPC, of each such Facility Contract at the Closing; (ii) in the event that, notwithstanding the use of commercially reasonable efforts, any Facility Contract is not assignable to GPC, Seller will maintain the Facility Contract in full force and effect and enter into back-to-back arrangements with GPC, in form and substance satisfactory to GPC, to provide GPC with the benefits of the Facility Contract; and (iii) GPC will reasonably cooperate with Seller in its efforts to obtain Contract Consents from the Counterparties; so long as GPC or Seller are not </w:t>
      </w:r>
      <w:r>
        <w:rPr>
          <w:rFonts w:cs="Arial"/>
        </w:rPr>
        <w:lastRenderedPageBreak/>
        <w:t>required to make any payment to any Counterparty or assume any Liability not otherwise required to be paid or assumed by Seller pursuant to the terms of the Facility Contract, or offer or grant any financial accommodation or other benefit to the Counterparty not otherwise required to be offered or granted by Seller pursuant to the terms of the Facility Contract. Following the Closing, Seller will reasonably cooperate with GPC in GPC’s efforts to provide notices to Counterparties to any Facility Contract as GPC (acting reasonably) may deem necessary, including notices providing Counterparties with updated notice information and updated bank account information to which any applicable payments should be made by the Counterparties.</w:t>
      </w:r>
    </w:p>
    <w:p w:rsidRPr="00B71D5E" w:rsidR="0029492C" w:rsidP="00B71D5E" w:rsidRDefault="00333F22" w14:paraId="64F1D36E" w14:textId="0FDD0C80">
      <w:pPr>
        <w:pStyle w:val="zGTC03"/>
        <w:rPr>
          <w:rFonts w:cs="Arial"/>
        </w:rPr>
      </w:pPr>
      <w:r>
        <w:rPr>
          <w:rFonts w:cs="Arial"/>
          <w:b/>
          <w:bCs/>
        </w:rPr>
        <w:t>Facility Permits.</w:t>
      </w:r>
      <w:r>
        <w:rPr>
          <w:rFonts w:cs="Arial"/>
        </w:rPr>
        <w:t xml:space="preserve"> Before the Closing Date, to the extent </w:t>
      </w:r>
      <w:r w:rsidR="00A20144">
        <w:rPr>
          <w:rFonts w:cs="Arial"/>
        </w:rPr>
        <w:t>any</w:t>
      </w:r>
      <w:r>
        <w:rPr>
          <w:rFonts w:cs="Arial"/>
        </w:rPr>
        <w:t xml:space="preserve"> Consent is required to transfer any Facility Permit to GPC without violating any provision of any Facility Permit or applicable </w:t>
      </w:r>
      <w:r>
        <w:t>law</w:t>
      </w:r>
      <w:r>
        <w:rPr>
          <w:rFonts w:cs="Arial"/>
        </w:rPr>
        <w:t>: (i) Seller will use commercially reasonable efforts to either transfer or obtain the reissuance of each Facility Permit to GPC at the Closing; (ii) in the event that, notwithstanding the use of commercially reasonable efforts, any Facility Permit is not transferrable or re-issuable to GPC, Seller will maintain the Facility Permit in full force and effect until the time that GPC is able to obtain its own Permit; and (iii) GPC will reasonably cooperate with Seller in its efforts to transfer or obtain the reissuance of any such Facility Permit. GPC will have the right to review in advance all characterizations of the information relating to the transactions contemplated by this APA that appear in any document to be submitted in connection with any filings to transfer the Facility Permits, and Seller agrees to consider in good faith any comments reasonably requested by GPC.</w:t>
      </w:r>
    </w:p>
    <w:p w:rsidRPr="00B71D5E" w:rsidR="0029492C" w:rsidP="00B71D5E" w:rsidRDefault="0029492C" w14:paraId="2C48FEAD" w14:textId="77777777">
      <w:pPr>
        <w:pStyle w:val="zGTC03"/>
        <w:rPr>
          <w:rFonts w:cs="Arial"/>
        </w:rPr>
      </w:pPr>
      <w:r>
        <w:rPr>
          <w:rFonts w:cs="Arial"/>
          <w:b/>
          <w:bCs/>
          <w:szCs w:val="20"/>
        </w:rPr>
        <w:t>Assignment of Facility Assets.</w:t>
      </w:r>
      <w:r>
        <w:rPr>
          <w:rFonts w:cs="Arial"/>
          <w:szCs w:val="20"/>
        </w:rPr>
        <w:t xml:space="preserve"> Before the Closing Date, Seller will cause its Affiliates to transfer and assign to Seller all of its Affiliates’ right, title, and interest in, to, and under all properties, assets, and rights of any kind, wherever located, whether tangible or intangible, owned, licensed, leased, or otherwise held by any of its Affiliates that are related to, used in or held for use in, or necessary for the ownership, operation, maintenance, repair, or use of the Facility.</w:t>
      </w:r>
    </w:p>
    <w:p w:rsidRPr="00B71D5E" w:rsidR="00C45091" w:rsidP="00B71D5E" w:rsidRDefault="00C45091" w14:paraId="075EF2EA" w14:textId="77777777">
      <w:pPr>
        <w:pStyle w:val="zGTC02"/>
        <w:rPr>
          <w:rFonts w:ascii="Arial" w:hAnsi="Arial" w:cs="Arial"/>
        </w:rPr>
      </w:pPr>
      <w:bookmarkStart w:name="_Toc66439068" w:id="343"/>
      <w:bookmarkStart w:name="_Toc143607249" w:id="344"/>
      <w:bookmarkStart w:name="_Toc181639459" w:id="345"/>
      <w:bookmarkStart w:name="_Toc214644779" w:id="346"/>
      <w:bookmarkStart w:name="_Ref444802741" w:id="347"/>
      <w:bookmarkStart w:name="_Ref382605458" w:id="348"/>
      <w:r>
        <w:rPr>
          <w:rFonts w:ascii="Arial" w:hAnsi="Arial" w:cs="Arial"/>
        </w:rPr>
        <w:t>Appraisal, Title Report, Survey, Title Insurance Commitment, &amp; Title Insurance Policy Matters.</w:t>
      </w:r>
      <w:bookmarkEnd w:id="343"/>
      <w:bookmarkEnd w:id="344"/>
      <w:bookmarkEnd w:id="345"/>
      <w:bookmarkEnd w:id="346"/>
    </w:p>
    <w:p w:rsidRPr="00B71D5E" w:rsidR="00C45091" w:rsidP="00B71D5E" w:rsidRDefault="00AC6C77" w14:paraId="6099BA19" w14:textId="4F177DE8">
      <w:pPr>
        <w:pStyle w:val="zGTC03"/>
        <w:rPr>
          <w:rFonts w:cs="Arial"/>
          <w:szCs w:val="20"/>
        </w:rPr>
      </w:pPr>
      <w:r>
        <w:rPr>
          <w:rFonts w:cs="Arial"/>
          <w:b/>
          <w:bCs/>
          <w:szCs w:val="20"/>
        </w:rPr>
        <w:t>Appraisal.</w:t>
      </w:r>
      <w:r>
        <w:rPr>
          <w:rFonts w:cs="Arial"/>
          <w:szCs w:val="20"/>
        </w:rPr>
        <w:t xml:space="preserve"> Within </w:t>
      </w:r>
      <w:proofErr w:type="gramStart"/>
      <w:r>
        <w:rPr>
          <w:rFonts w:cs="Arial"/>
          <w:szCs w:val="20"/>
        </w:rPr>
        <w:t>thirty 30</w:t>
      </w:r>
      <w:proofErr w:type="gramEnd"/>
      <w:r>
        <w:rPr>
          <w:rFonts w:cs="Arial"/>
          <w:szCs w:val="20"/>
        </w:rPr>
        <w:t xml:space="preserve"> days after the Effective Date, GPC will, at Seller’s cost and expense, use commercially reasonable efforts to retain a </w:t>
      </w:r>
      <w:r>
        <w:rPr>
          <w:rStyle w:val="HeadingBody2Char"/>
          <w:rFonts w:ascii="Arial" w:hAnsi="Arial" w:cs="Arial"/>
          <w:sz w:val="20"/>
          <w:szCs w:val="20"/>
        </w:rPr>
        <w:t xml:space="preserve">nationally or regionally recognized real property appraiser, </w:t>
      </w:r>
      <w:r>
        <w:rPr>
          <w:rFonts w:cs="Arial"/>
          <w:szCs w:val="20"/>
        </w:rPr>
        <w:t>reasonably acceptable to Seller, to prepare an appraisal of the fair market value of the real property interests relating to the Facility Real Property. Seller will reasonably cooperate with GPC in connection with selecting the appraiser and obtaining the appraisal.</w:t>
      </w:r>
    </w:p>
    <w:p w:rsidRPr="00B71D5E" w:rsidR="00C45091" w:rsidP="00B71D5E" w:rsidRDefault="00AC6C77" w14:paraId="048528AD" w14:textId="77777777">
      <w:pPr>
        <w:pStyle w:val="zGTC03"/>
        <w:rPr>
          <w:rFonts w:cs="Arial"/>
          <w:szCs w:val="20"/>
        </w:rPr>
      </w:pPr>
      <w:r>
        <w:rPr>
          <w:rFonts w:cs="Arial"/>
          <w:b/>
          <w:bCs/>
          <w:szCs w:val="20"/>
        </w:rPr>
        <w:t>Title Report.</w:t>
      </w:r>
      <w:r>
        <w:rPr>
          <w:rFonts w:cs="Arial"/>
          <w:szCs w:val="20"/>
        </w:rPr>
        <w:t xml:space="preserve"> Within 30 days after the Effective Date, GPC will, at Seller’s cost and expense, use commercially reasonable efforts to obtain a preliminary title report with respect to each parcel of real property comprising the Facility Real Property or that is the subject of a Real Property Agreement, including the Easements (“</w:t>
      </w:r>
      <w:r>
        <w:rPr>
          <w:rFonts w:cs="Arial"/>
          <w:b/>
          <w:bCs/>
          <w:szCs w:val="20"/>
        </w:rPr>
        <w:t>Preliminary Title Report</w:t>
      </w:r>
      <w:r>
        <w:rPr>
          <w:rFonts w:cs="Arial"/>
          <w:szCs w:val="20"/>
        </w:rPr>
        <w:t>”).</w:t>
      </w:r>
      <w:bookmarkEnd w:id="347"/>
      <w:r>
        <w:rPr>
          <w:rFonts w:cs="Arial"/>
          <w:szCs w:val="20"/>
        </w:rPr>
        <w:t xml:space="preserve"> </w:t>
      </w:r>
    </w:p>
    <w:p w:rsidRPr="00B71D5E" w:rsidR="00C45091" w:rsidP="00B71D5E" w:rsidRDefault="00AC6C77" w14:paraId="0376354A" w14:textId="77777777">
      <w:pPr>
        <w:pStyle w:val="zGTC03"/>
        <w:rPr>
          <w:rFonts w:cs="Arial"/>
          <w:szCs w:val="20"/>
        </w:rPr>
      </w:pPr>
      <w:bookmarkStart w:name="_Ref444531210" w:id="349"/>
      <w:bookmarkStart w:name="_Ref444803849" w:id="350"/>
      <w:r>
        <w:rPr>
          <w:rFonts w:cs="Arial"/>
          <w:b/>
          <w:bCs/>
          <w:szCs w:val="20"/>
        </w:rPr>
        <w:t>ALTA Survey.</w:t>
      </w:r>
      <w:r>
        <w:rPr>
          <w:rFonts w:cs="Arial"/>
          <w:szCs w:val="20"/>
        </w:rPr>
        <w:t xml:space="preserve"> Within 60 days after GPC’s receipt of the Preliminary Title Report, GPC will, at Seller’s cost and expense, use commercially reasonable efforts to obtain the ALTA Survey prepared by the Surveyor, in form and substance reasonably acceptable to GPC</w:t>
      </w:r>
      <w:bookmarkEnd w:id="349"/>
      <w:r>
        <w:rPr>
          <w:rFonts w:cs="Arial"/>
          <w:szCs w:val="20"/>
        </w:rPr>
        <w:t xml:space="preserve">, which ALTA Survey will be in the name of, and prepared </w:t>
      </w:r>
      <w:proofErr w:type="gramStart"/>
      <w:r>
        <w:rPr>
          <w:rFonts w:cs="Arial"/>
          <w:szCs w:val="20"/>
        </w:rPr>
        <w:t>at</w:t>
      </w:r>
      <w:proofErr w:type="gramEnd"/>
      <w:r>
        <w:rPr>
          <w:rFonts w:cs="Arial"/>
          <w:szCs w:val="20"/>
        </w:rPr>
        <w:t xml:space="preserve"> the direction of GPC.</w:t>
      </w:r>
      <w:bookmarkEnd w:id="350"/>
    </w:p>
    <w:p w:rsidRPr="00B71D5E" w:rsidR="00C45091" w:rsidP="00B71D5E" w:rsidRDefault="00AC6C77" w14:paraId="68E71373" w14:textId="77777777">
      <w:pPr>
        <w:pStyle w:val="zGTC03"/>
        <w:rPr>
          <w:rFonts w:cs="Arial"/>
          <w:szCs w:val="20"/>
        </w:rPr>
      </w:pPr>
      <w:bookmarkStart w:name="_Ref445250890" w:id="351"/>
      <w:r>
        <w:rPr>
          <w:rFonts w:cs="Arial"/>
          <w:b/>
          <w:bCs/>
          <w:szCs w:val="20"/>
        </w:rPr>
        <w:t>Title Commitment.</w:t>
      </w:r>
      <w:r>
        <w:rPr>
          <w:rFonts w:cs="Arial"/>
          <w:szCs w:val="20"/>
        </w:rPr>
        <w:t xml:space="preserve"> Within 30 days after GPC’s receipt of the ALTA Survey, GPC will use commercially reasonable efforts to obtain a commitment for title insurance issued by the Title Company (“</w:t>
      </w:r>
      <w:r>
        <w:rPr>
          <w:rFonts w:cs="Arial"/>
          <w:b/>
          <w:bCs/>
          <w:szCs w:val="20"/>
        </w:rPr>
        <w:t>Title Commitment</w:t>
      </w:r>
      <w:r>
        <w:rPr>
          <w:rFonts w:cs="Arial"/>
          <w:szCs w:val="20"/>
        </w:rPr>
        <w:t>”) to issue the Title Policy on the Closing Date.</w:t>
      </w:r>
      <w:bookmarkEnd w:id="351"/>
    </w:p>
    <w:p w:rsidRPr="00B71D5E" w:rsidR="00ED3B3D" w:rsidP="00B71D5E" w:rsidRDefault="00AC6C77" w14:paraId="03E20C21" w14:textId="0680D778">
      <w:pPr>
        <w:pStyle w:val="zGTC03"/>
        <w:rPr>
          <w:rFonts w:cs="Arial"/>
        </w:rPr>
      </w:pPr>
      <w:bookmarkStart w:name="_Ref444558049" w:id="352"/>
      <w:r>
        <w:rPr>
          <w:rFonts w:cs="Arial"/>
          <w:b/>
          <w:bCs/>
        </w:rPr>
        <w:t>Title and Survey Objection Notice.</w:t>
      </w:r>
      <w:r>
        <w:rPr>
          <w:rFonts w:cs="Arial"/>
        </w:rPr>
        <w:t xml:space="preserve"> GPC may object to any matters shown on the Title Commitment or the ALTA Survey, other than Permitted Liens as of the Closing Date and the standard pre-printed exceptions that appear in the Title Commitment, by delivering notice ( “</w:t>
      </w:r>
      <w:r>
        <w:rPr>
          <w:rFonts w:cs="Arial"/>
          <w:b/>
          <w:bCs/>
        </w:rPr>
        <w:t>Title and Survey Objection Notice</w:t>
      </w:r>
      <w:r>
        <w:rPr>
          <w:rFonts w:cs="Arial"/>
        </w:rPr>
        <w:t>”) to Seller no later than 14 days</w:t>
      </w:r>
      <w:r>
        <w:rPr>
          <w:rStyle w:val="FootnoteReference"/>
          <w:rFonts w:cs="Arial"/>
        </w:rPr>
        <w:t xml:space="preserve"> </w:t>
      </w:r>
      <w:r>
        <w:rPr>
          <w:rFonts w:cs="Arial"/>
        </w:rPr>
        <w:t xml:space="preserve">after receipt by GPC of the later of the Title Commitment and the ALTA Survey. If GPC does not deliver the Title and Survey Objection Notice within the prescribed 14-day period, all matters reflected on the Title Commitment and ALTA Survey will be Permitted Liens, and all matters reflected on the Title Commitment and the ALTA Survey to which GPC does not object in the Title and Survey Objection Notice will be Permitted Liens. Seller may, but will have no obligation to, remove or rectify </w:t>
      </w:r>
      <w:r w:rsidR="0090318B">
        <w:rPr>
          <w:rFonts w:cs="Arial"/>
        </w:rPr>
        <w:t>before the</w:t>
      </w:r>
      <w:r>
        <w:rPr>
          <w:rFonts w:cs="Arial"/>
        </w:rPr>
        <w:t xml:space="preserve"> Closing any matters identified as Objectionable Title and Survey Matters in the Title and Survey Objection Notice. Within 14 days after receipt of GPC’s Title and Survey Objection Notice, Seller will provide GPC notice (“</w:t>
      </w:r>
      <w:r>
        <w:rPr>
          <w:rFonts w:cs="Arial"/>
          <w:b/>
          <w:bCs/>
        </w:rPr>
        <w:t>Seller’s Title/Survey Objection Response</w:t>
      </w:r>
      <w:r>
        <w:rPr>
          <w:rFonts w:cs="Arial"/>
        </w:rPr>
        <w:t xml:space="preserve">”) of those Objectionable Title and Survey Matters which Seller will remove or rectify and those which Seller elects not to remove or rectify. If Seller elects not to remove or rectify any of the Objectionable Title and Survey Matters, GPC will have the right to terminate this APA by delivering notice to Seller within 14 days after GPC’s receipt of Seller’s Title/Survey Objection Response. If GPC does not deliver to Seller a notice of </w:t>
      </w:r>
      <w:r>
        <w:rPr>
          <w:rFonts w:cs="Arial"/>
        </w:rPr>
        <w:lastRenderedPageBreak/>
        <w:t>termination within the prescribed 14-day period, then GPC will be deemed to have accepted the Objectionable Title and Survey Matters and they will be deemed to be Permitted Liens.</w:t>
      </w:r>
      <w:bookmarkEnd w:id="348"/>
      <w:bookmarkEnd w:id="352"/>
    </w:p>
    <w:p w:rsidRPr="00B71D5E" w:rsidR="001A6419" w:rsidP="00B71D5E" w:rsidRDefault="001A6419" w14:paraId="11F8104E" w14:textId="77777777">
      <w:pPr>
        <w:pStyle w:val="zGTC02"/>
        <w:rPr>
          <w:rFonts w:ascii="Arial" w:hAnsi="Arial" w:cs="Arial"/>
          <w:vanish/>
          <w:specVanish/>
        </w:rPr>
      </w:pPr>
      <w:bookmarkStart w:name="_Toc143607250" w:id="353"/>
      <w:bookmarkStart w:name="_Toc181639460" w:id="354"/>
      <w:bookmarkStart w:name="_Toc214644780" w:id="355"/>
      <w:r>
        <w:rPr>
          <w:rFonts w:ascii="Arial" w:hAnsi="Arial" w:cs="Arial"/>
        </w:rPr>
        <w:t>Performance Security.</w:t>
      </w:r>
      <w:bookmarkEnd w:id="353"/>
      <w:bookmarkEnd w:id="354"/>
      <w:bookmarkEnd w:id="355"/>
    </w:p>
    <w:p w:rsidRPr="00001A6E" w:rsidR="00583BAD" w:rsidP="00D43F93" w:rsidRDefault="001A6419" w14:paraId="17EF38E5" w14:textId="106376A8">
      <w:pPr>
        <w:pStyle w:val="zGNormalDefinition"/>
        <w:spacing w:before="120" w:after="120"/>
        <w:rPr>
          <w:sz w:val="20"/>
        </w:rPr>
      </w:pPr>
      <w:r w:rsidRPr="00001A6E">
        <w:rPr>
          <w:sz w:val="20"/>
        </w:rPr>
        <w:t xml:space="preserve"> </w:t>
      </w:r>
      <w:r w:rsidRPr="00001A6E" w:rsidR="00C33C53">
        <w:rPr>
          <w:sz w:val="20"/>
        </w:rPr>
        <w:t>On</w:t>
      </w:r>
      <w:r w:rsidRPr="00001A6E">
        <w:rPr>
          <w:sz w:val="20"/>
        </w:rPr>
        <w:t xml:space="preserve"> the Effective Date Seller must </w:t>
      </w:r>
      <w:r w:rsidRPr="00001A6E" w:rsidR="00D63149">
        <w:rPr>
          <w:sz w:val="20"/>
        </w:rPr>
        <w:t>deliver</w:t>
      </w:r>
      <w:r w:rsidRPr="00001A6E">
        <w:rPr>
          <w:sz w:val="20"/>
        </w:rPr>
        <w:t xml:space="preserve"> </w:t>
      </w:r>
      <w:r w:rsidRPr="00001A6E" w:rsidR="00BE0070">
        <w:rPr>
          <w:sz w:val="20"/>
        </w:rPr>
        <w:t xml:space="preserve">Performance Security in </w:t>
      </w:r>
      <w:r w:rsidRPr="00001A6E" w:rsidR="00D56227">
        <w:rPr>
          <w:sz w:val="20"/>
        </w:rPr>
        <w:t>the</w:t>
      </w:r>
      <w:r w:rsidRPr="00001A6E" w:rsidR="00867A07">
        <w:rPr>
          <w:sz w:val="20"/>
        </w:rPr>
        <w:t xml:space="preserve"> </w:t>
      </w:r>
      <w:r w:rsidRPr="00001A6E" w:rsidR="00867A07">
        <w:rPr>
          <w:rStyle w:val="zGNormalChar"/>
        </w:rPr>
        <w:t xml:space="preserve">amount </w:t>
      </w:r>
      <w:r w:rsidRPr="00001A6E" w:rsidR="00D56227">
        <w:rPr>
          <w:rStyle w:val="zGNormalChar"/>
        </w:rPr>
        <w:t>specified</w:t>
      </w:r>
      <w:r w:rsidRPr="00001A6E" w:rsidR="00FB1589">
        <w:rPr>
          <w:rStyle w:val="zGNormalChar"/>
        </w:rPr>
        <w:t xml:space="preserve"> in</w:t>
      </w:r>
      <w:r w:rsidRPr="00001A6E" w:rsidR="008441E9">
        <w:rPr>
          <w:rStyle w:val="zGNormalChar"/>
        </w:rPr>
        <w:t xml:space="preserve"> </w:t>
      </w:r>
      <w:r w:rsidRPr="00001A6E" w:rsidR="00D56227">
        <w:rPr>
          <w:rStyle w:val="zGNormalChar"/>
        </w:rPr>
        <w:t>Exhibit A-1 (</w:t>
      </w:r>
      <w:r w:rsidRPr="00001A6E" w:rsidR="00D56227">
        <w:rPr>
          <w:rStyle w:val="zGNormalChar"/>
          <w:i/>
          <w:iCs/>
        </w:rPr>
        <w:t>Facility Information and Additional Details</w:t>
      </w:r>
      <w:r w:rsidRPr="00001A6E" w:rsidR="00D56227">
        <w:rPr>
          <w:rStyle w:val="zGNormalChar"/>
        </w:rPr>
        <w:t>)</w:t>
      </w:r>
      <w:r w:rsidRPr="00001A6E" w:rsidR="005712E0">
        <w:rPr>
          <w:rStyle w:val="zGNormalChar"/>
        </w:rPr>
        <w:t xml:space="preserve"> in accordance with the requirements in </w:t>
      </w:r>
      <w:proofErr w:type="gramStart"/>
      <w:r w:rsidRPr="00001A6E" w:rsidR="005712E0">
        <w:rPr>
          <w:rStyle w:val="zGNormalChar"/>
        </w:rPr>
        <w:t>this Section</w:t>
      </w:r>
      <w:proofErr w:type="gramEnd"/>
      <w:r w:rsidRPr="00001A6E" w:rsidR="005712E0">
        <w:rPr>
          <w:rStyle w:val="zGNormalChar"/>
        </w:rPr>
        <w:t xml:space="preserve"> 5.15 (</w:t>
      </w:r>
      <w:r w:rsidRPr="00001A6E" w:rsidR="005712E0">
        <w:rPr>
          <w:rStyle w:val="zGNormalChar"/>
          <w:i/>
          <w:iCs/>
        </w:rPr>
        <w:t>Performance Security</w:t>
      </w:r>
      <w:r w:rsidRPr="00001A6E" w:rsidR="005712E0">
        <w:rPr>
          <w:rStyle w:val="zGNormalChar"/>
        </w:rPr>
        <w:t>)</w:t>
      </w:r>
      <w:r w:rsidRPr="00001A6E" w:rsidR="00100D3D">
        <w:rPr>
          <w:sz w:val="20"/>
        </w:rPr>
        <w:t xml:space="preserve">. Eligible Collateral </w:t>
      </w:r>
      <w:r w:rsidRPr="00001A6E" w:rsidR="00227D28">
        <w:rPr>
          <w:sz w:val="20"/>
        </w:rPr>
        <w:t>consisting of</w:t>
      </w:r>
      <w:r w:rsidR="00E02519">
        <w:rPr>
          <w:sz w:val="20"/>
        </w:rPr>
        <w:t>:</w:t>
      </w:r>
      <w:r w:rsidRPr="00001A6E" w:rsidR="00100D3D">
        <w:rPr>
          <w:sz w:val="20"/>
        </w:rPr>
        <w:t xml:space="preserve"> (i) cash must be delivered to </w:t>
      </w:r>
      <w:r w:rsidRPr="00001A6E" w:rsidR="00607883">
        <w:rPr>
          <w:sz w:val="20"/>
        </w:rPr>
        <w:t xml:space="preserve">a </w:t>
      </w:r>
      <w:r w:rsidRPr="00001A6E" w:rsidR="00FB1589">
        <w:rPr>
          <w:sz w:val="20"/>
        </w:rPr>
        <w:t>Security</w:t>
      </w:r>
      <w:r w:rsidRPr="00001A6E" w:rsidR="00607883">
        <w:rPr>
          <w:sz w:val="20"/>
        </w:rPr>
        <w:t xml:space="preserve"> Account;</w:t>
      </w:r>
      <w:r w:rsidRPr="00001A6E" w:rsidR="00FB1589">
        <w:rPr>
          <w:sz w:val="20"/>
        </w:rPr>
        <w:t xml:space="preserve"> </w:t>
      </w:r>
      <w:r w:rsidRPr="00001A6E" w:rsidR="004E2162">
        <w:rPr>
          <w:sz w:val="20"/>
        </w:rPr>
        <w:t xml:space="preserve">and </w:t>
      </w:r>
      <w:r w:rsidRPr="00001A6E" w:rsidR="00FB1589">
        <w:rPr>
          <w:sz w:val="20"/>
        </w:rPr>
        <w:t xml:space="preserve">(ii) </w:t>
      </w:r>
      <w:r w:rsidRPr="00001A6E" w:rsidR="00B360C4">
        <w:rPr>
          <w:sz w:val="20"/>
        </w:rPr>
        <w:t>a</w:t>
      </w:r>
      <w:r w:rsidRPr="00001A6E" w:rsidR="0065548F">
        <w:rPr>
          <w:sz w:val="20"/>
        </w:rPr>
        <w:t>ny</w:t>
      </w:r>
      <w:r w:rsidRPr="00001A6E" w:rsidR="00B360C4">
        <w:rPr>
          <w:sz w:val="20"/>
        </w:rPr>
        <w:t xml:space="preserve"> Letter of Credit</w:t>
      </w:r>
      <w:r w:rsidRPr="00001A6E" w:rsidR="001B2390">
        <w:rPr>
          <w:sz w:val="20"/>
        </w:rPr>
        <w:t xml:space="preserve">, </w:t>
      </w:r>
      <w:r w:rsidRPr="00001A6E" w:rsidR="00B360C4">
        <w:rPr>
          <w:sz w:val="20"/>
        </w:rPr>
        <w:t>Seller Guaranty</w:t>
      </w:r>
      <w:r w:rsidRPr="00001A6E" w:rsidR="001B2390">
        <w:rPr>
          <w:sz w:val="20"/>
        </w:rPr>
        <w:t xml:space="preserve">, or </w:t>
      </w:r>
      <w:r w:rsidRPr="00001A6E" w:rsidR="00EC1CED">
        <w:rPr>
          <w:sz w:val="20"/>
        </w:rPr>
        <w:t>Closing Date Letter of Credit (if applicable)</w:t>
      </w:r>
      <w:r w:rsidRPr="00001A6E" w:rsidR="00B360C4">
        <w:rPr>
          <w:sz w:val="20"/>
        </w:rPr>
        <w:t xml:space="preserve"> must be delivered </w:t>
      </w:r>
      <w:r w:rsidR="00471131">
        <w:rPr>
          <w:sz w:val="20"/>
        </w:rPr>
        <w:t>to the address indicated in</w:t>
      </w:r>
      <w:r w:rsidRPr="00001A6E" w:rsidR="00B360C4">
        <w:rPr>
          <w:sz w:val="20"/>
        </w:rPr>
        <w:t xml:space="preserve"> Exhibit </w:t>
      </w:r>
      <w:r w:rsidRPr="00001A6E" w:rsidR="00A6248D">
        <w:rPr>
          <w:sz w:val="20"/>
        </w:rPr>
        <w:t>A-2</w:t>
      </w:r>
      <w:r w:rsidRPr="00001A6E" w:rsidR="00B360C4">
        <w:rPr>
          <w:sz w:val="20"/>
        </w:rPr>
        <w:t xml:space="preserve"> (</w:t>
      </w:r>
      <w:r w:rsidRPr="00001A6E" w:rsidR="00B360C4">
        <w:rPr>
          <w:i/>
          <w:iCs/>
          <w:sz w:val="20"/>
        </w:rPr>
        <w:t>Notice Contacts</w:t>
      </w:r>
      <w:r w:rsidRPr="00001A6E" w:rsidR="00B360C4">
        <w:rPr>
          <w:sz w:val="20"/>
        </w:rPr>
        <w:t>).</w:t>
      </w:r>
      <w:r w:rsidRPr="00001A6E" w:rsidR="004E2162">
        <w:rPr>
          <w:sz w:val="20"/>
        </w:rPr>
        <w:t xml:space="preserve"> </w:t>
      </w:r>
      <w:r w:rsidRPr="00001A6E" w:rsidR="00B76368">
        <w:rPr>
          <w:sz w:val="20"/>
        </w:rPr>
        <w:t>If Seller intends to provide Eligible Collateral in any form other than cash,</w:t>
      </w:r>
      <w:r w:rsidR="001D594D">
        <w:rPr>
          <w:sz w:val="20"/>
        </w:rPr>
        <w:t xml:space="preserve"> including any amendment or replacement Eligible Collateral,</w:t>
      </w:r>
      <w:r w:rsidRPr="00001A6E" w:rsidR="00B76368">
        <w:rPr>
          <w:sz w:val="20"/>
        </w:rPr>
        <w:t xml:space="preserve"> Seller, at least 10 Business Days before the applicable due date, must submit a draft (unissued) Letter of Credit or Seller Guaranty for GPC’s review and approval. </w:t>
      </w:r>
      <w:r w:rsidRPr="00001A6E" w:rsidR="00624A63">
        <w:rPr>
          <w:sz w:val="20"/>
        </w:rPr>
        <w:t xml:space="preserve">Seller </w:t>
      </w:r>
      <w:r w:rsidRPr="00001A6E" w:rsidR="00165280">
        <w:rPr>
          <w:sz w:val="20"/>
        </w:rPr>
        <w:t xml:space="preserve">must maintain </w:t>
      </w:r>
      <w:r w:rsidRPr="00001A6E" w:rsidR="000F1C37">
        <w:rPr>
          <w:sz w:val="20"/>
        </w:rPr>
        <w:t>the</w:t>
      </w:r>
      <w:r w:rsidRPr="00001A6E" w:rsidR="00165280">
        <w:rPr>
          <w:sz w:val="20"/>
        </w:rPr>
        <w:t xml:space="preserve"> Performance Security in full until the </w:t>
      </w:r>
      <w:r w:rsidRPr="00001A6E" w:rsidR="00BC125D">
        <w:rPr>
          <w:sz w:val="20"/>
        </w:rPr>
        <w:t>earliest to occur</w:t>
      </w:r>
      <w:r w:rsidRPr="00001A6E" w:rsidR="00165280">
        <w:rPr>
          <w:sz w:val="20"/>
        </w:rPr>
        <w:t xml:space="preserve"> of</w:t>
      </w:r>
      <w:r w:rsidRPr="00001A6E" w:rsidR="00210B10">
        <w:rPr>
          <w:sz w:val="20"/>
        </w:rPr>
        <w:t>:</w:t>
      </w:r>
      <w:r w:rsidRPr="00001A6E" w:rsidR="00165280">
        <w:rPr>
          <w:sz w:val="20"/>
        </w:rPr>
        <w:t xml:space="preserve"> </w:t>
      </w:r>
      <w:r w:rsidRPr="00001A6E" w:rsidR="00BC125D">
        <w:rPr>
          <w:sz w:val="20"/>
        </w:rPr>
        <w:t>(</w:t>
      </w:r>
      <w:r w:rsidR="00820BD9">
        <w:rPr>
          <w:sz w:val="20"/>
        </w:rPr>
        <w:t>a</w:t>
      </w:r>
      <w:r w:rsidRPr="00001A6E" w:rsidR="00BC125D">
        <w:rPr>
          <w:sz w:val="20"/>
        </w:rPr>
        <w:t xml:space="preserve">) </w:t>
      </w:r>
      <w:r w:rsidRPr="00001A6E" w:rsidR="00165280">
        <w:rPr>
          <w:sz w:val="20"/>
        </w:rPr>
        <w:t>the</w:t>
      </w:r>
      <w:r w:rsidRPr="00001A6E" w:rsidR="009F2661">
        <w:rPr>
          <w:sz w:val="20"/>
        </w:rPr>
        <w:t xml:space="preserve"> </w:t>
      </w:r>
      <w:r w:rsidRPr="00001A6E" w:rsidR="00C3566D">
        <w:rPr>
          <w:sz w:val="20"/>
        </w:rPr>
        <w:t>termination of the APA</w:t>
      </w:r>
      <w:r w:rsidRPr="00001A6E" w:rsidR="00D4168F">
        <w:rPr>
          <w:sz w:val="20"/>
        </w:rPr>
        <w:t>;</w:t>
      </w:r>
      <w:r w:rsidRPr="00001A6E" w:rsidR="00BC125D">
        <w:rPr>
          <w:sz w:val="20"/>
        </w:rPr>
        <w:t xml:space="preserve"> (</w:t>
      </w:r>
      <w:r w:rsidR="00820BD9">
        <w:rPr>
          <w:sz w:val="20"/>
        </w:rPr>
        <w:t>b</w:t>
      </w:r>
      <w:r w:rsidRPr="00001A6E" w:rsidR="00BC125D">
        <w:rPr>
          <w:sz w:val="20"/>
        </w:rPr>
        <w:t xml:space="preserve">) </w:t>
      </w:r>
      <w:r w:rsidRPr="00001A6E" w:rsidR="008445B8">
        <w:rPr>
          <w:sz w:val="20"/>
        </w:rPr>
        <w:t>the date that is 24 months after the Closing Date</w:t>
      </w:r>
      <w:r w:rsidRPr="00001A6E" w:rsidR="00D4168F">
        <w:rPr>
          <w:sz w:val="20"/>
        </w:rPr>
        <w:t>;</w:t>
      </w:r>
      <w:r w:rsidRPr="00001A6E" w:rsidR="00BC125D">
        <w:rPr>
          <w:sz w:val="20"/>
        </w:rPr>
        <w:t xml:space="preserve"> or (</w:t>
      </w:r>
      <w:r w:rsidR="00820BD9">
        <w:rPr>
          <w:sz w:val="20"/>
        </w:rPr>
        <w:t>c</w:t>
      </w:r>
      <w:r w:rsidRPr="00001A6E" w:rsidR="00BC125D">
        <w:rPr>
          <w:sz w:val="20"/>
        </w:rPr>
        <w:t>) if</w:t>
      </w:r>
      <w:r w:rsidRPr="00001A6E" w:rsidR="00CE023A">
        <w:rPr>
          <w:sz w:val="20"/>
        </w:rPr>
        <w:t xml:space="preserve">, as of </w:t>
      </w:r>
      <w:r w:rsidRPr="00001A6E" w:rsidR="00D90253">
        <w:rPr>
          <w:sz w:val="20"/>
        </w:rPr>
        <w:t>the date that is 24 months after the Closing Date</w:t>
      </w:r>
      <w:r w:rsidRPr="00001A6E" w:rsidR="00CE023A">
        <w:rPr>
          <w:sz w:val="20"/>
        </w:rPr>
        <w:t>,</w:t>
      </w:r>
      <w:r w:rsidRPr="00001A6E" w:rsidR="00464ADB">
        <w:rPr>
          <w:sz w:val="20"/>
        </w:rPr>
        <w:t xml:space="preserve"> Seller has </w:t>
      </w:r>
      <w:r w:rsidRPr="00001A6E" w:rsidR="00CE023A">
        <w:rPr>
          <w:sz w:val="20"/>
        </w:rPr>
        <w:t xml:space="preserve">any </w:t>
      </w:r>
      <w:r w:rsidRPr="00001A6E" w:rsidR="00464ADB">
        <w:rPr>
          <w:sz w:val="20"/>
        </w:rPr>
        <w:t>outstanding payment obligations under this APA</w:t>
      </w:r>
      <w:r w:rsidRPr="00001A6E" w:rsidR="00D90253">
        <w:rPr>
          <w:sz w:val="20"/>
        </w:rPr>
        <w:t xml:space="preserve">, </w:t>
      </w:r>
      <w:r w:rsidR="0068664B">
        <w:rPr>
          <w:sz w:val="20"/>
        </w:rPr>
        <w:t xml:space="preserve">the date of </w:t>
      </w:r>
      <w:r w:rsidRPr="00001A6E" w:rsidR="0001364B">
        <w:rPr>
          <w:sz w:val="20"/>
        </w:rPr>
        <w:t xml:space="preserve">the </w:t>
      </w:r>
      <w:r w:rsidRPr="00001A6E" w:rsidR="00464ADB">
        <w:rPr>
          <w:sz w:val="20"/>
        </w:rPr>
        <w:t xml:space="preserve">final </w:t>
      </w:r>
      <w:r w:rsidRPr="00001A6E" w:rsidR="0001364B">
        <w:rPr>
          <w:sz w:val="20"/>
        </w:rPr>
        <w:t xml:space="preserve">discharge of </w:t>
      </w:r>
      <w:r w:rsidRPr="00001A6E" w:rsidR="006A5CC3">
        <w:rPr>
          <w:sz w:val="20"/>
        </w:rPr>
        <w:t xml:space="preserve">those </w:t>
      </w:r>
      <w:r w:rsidRPr="00001A6E" w:rsidR="00185F62">
        <w:rPr>
          <w:sz w:val="20"/>
        </w:rPr>
        <w:t>out</w:t>
      </w:r>
      <w:r w:rsidRPr="00001A6E" w:rsidR="00210B10">
        <w:rPr>
          <w:sz w:val="20"/>
        </w:rPr>
        <w:t>standing payment obligations</w:t>
      </w:r>
      <w:r w:rsidRPr="00001A6E" w:rsidR="008445B8">
        <w:rPr>
          <w:sz w:val="20"/>
        </w:rPr>
        <w:t>.</w:t>
      </w:r>
      <w:r w:rsidRPr="00001A6E" w:rsidR="00FA277E">
        <w:rPr>
          <w:sz w:val="20"/>
        </w:rPr>
        <w:t xml:space="preserve"> If any portion of the </w:t>
      </w:r>
      <w:r w:rsidRPr="00001A6E" w:rsidR="00301408">
        <w:rPr>
          <w:sz w:val="20"/>
        </w:rPr>
        <w:t>Eligible Collateral</w:t>
      </w:r>
      <w:r w:rsidRPr="00001A6E" w:rsidR="00FA277E">
        <w:rPr>
          <w:sz w:val="20"/>
        </w:rPr>
        <w:t xml:space="preserve"> </w:t>
      </w:r>
      <w:r w:rsidRPr="00001A6E" w:rsidR="00204571">
        <w:rPr>
          <w:sz w:val="20"/>
        </w:rPr>
        <w:t>delivered by Seller</w:t>
      </w:r>
      <w:r w:rsidRPr="00001A6E" w:rsidR="0045509A">
        <w:rPr>
          <w:sz w:val="20"/>
        </w:rPr>
        <w:t xml:space="preserve"> </w:t>
      </w:r>
      <w:r w:rsidRPr="00001A6E" w:rsidR="00301408">
        <w:rPr>
          <w:sz w:val="20"/>
        </w:rPr>
        <w:t>consists</w:t>
      </w:r>
      <w:r w:rsidRPr="00001A6E" w:rsidR="0045509A">
        <w:rPr>
          <w:sz w:val="20"/>
        </w:rPr>
        <w:t xml:space="preserve"> of a Seller Guaranty,</w:t>
      </w:r>
      <w:r w:rsidRPr="00001A6E" w:rsidR="00917B2D">
        <w:rPr>
          <w:sz w:val="20"/>
        </w:rPr>
        <w:t xml:space="preserve"> </w:t>
      </w:r>
      <w:r w:rsidRPr="00001A6E" w:rsidR="00724F33">
        <w:rPr>
          <w:sz w:val="20"/>
        </w:rPr>
        <w:t xml:space="preserve">on the Closing Date </w:t>
      </w:r>
      <w:r w:rsidRPr="00001A6E" w:rsidR="00282DF3">
        <w:rPr>
          <w:sz w:val="20"/>
        </w:rPr>
        <w:t xml:space="preserve">Seller must </w:t>
      </w:r>
      <w:r w:rsidRPr="00001A6E" w:rsidR="00841F5A">
        <w:rPr>
          <w:sz w:val="20"/>
        </w:rPr>
        <w:t xml:space="preserve">also </w:t>
      </w:r>
      <w:r w:rsidRPr="00001A6E" w:rsidR="00282DF3">
        <w:rPr>
          <w:sz w:val="20"/>
        </w:rPr>
        <w:t>deliver</w:t>
      </w:r>
      <w:r w:rsidRPr="00001A6E" w:rsidR="008F2C7D">
        <w:rPr>
          <w:sz w:val="20"/>
        </w:rPr>
        <w:t xml:space="preserve"> </w:t>
      </w:r>
      <w:r w:rsidRPr="00001A6E" w:rsidR="00282DF3">
        <w:rPr>
          <w:sz w:val="20"/>
        </w:rPr>
        <w:t>the Closing Date Letter of Credit</w:t>
      </w:r>
      <w:r w:rsidRPr="00001A6E" w:rsidR="00724F33">
        <w:rPr>
          <w:sz w:val="20"/>
        </w:rPr>
        <w:t xml:space="preserve">, which must be maintained </w:t>
      </w:r>
      <w:r w:rsidRPr="00001A6E" w:rsidR="00EC6AD8">
        <w:rPr>
          <w:sz w:val="20"/>
        </w:rPr>
        <w:t>in full</w:t>
      </w:r>
      <w:r w:rsidRPr="00001A6E" w:rsidR="00AB6DB1">
        <w:rPr>
          <w:sz w:val="20"/>
        </w:rPr>
        <w:t xml:space="preserve"> until Performance Security</w:t>
      </w:r>
      <w:r w:rsidRPr="00001A6E" w:rsidR="006502ED">
        <w:rPr>
          <w:sz w:val="20"/>
        </w:rPr>
        <w:t xml:space="preserve"> </w:t>
      </w:r>
      <w:r w:rsidRPr="00001A6E" w:rsidR="00914335">
        <w:rPr>
          <w:sz w:val="20"/>
        </w:rPr>
        <w:t xml:space="preserve">is no longer required </w:t>
      </w:r>
      <w:r w:rsidRPr="00001A6E" w:rsidR="006502ED">
        <w:rPr>
          <w:sz w:val="20"/>
        </w:rPr>
        <w:t>under this Section 5.15</w:t>
      </w:r>
      <w:r w:rsidRPr="00001A6E" w:rsidR="008F0107">
        <w:rPr>
          <w:sz w:val="20"/>
        </w:rPr>
        <w:t xml:space="preserve">. Further, </w:t>
      </w:r>
      <w:r w:rsidRPr="00001A6E" w:rsidR="00C053BE">
        <w:rPr>
          <w:sz w:val="20"/>
        </w:rPr>
        <w:t xml:space="preserve">if any portion of the Eligible Collateral </w:t>
      </w:r>
      <w:r w:rsidRPr="00001A6E" w:rsidR="0027214C">
        <w:rPr>
          <w:sz w:val="20"/>
        </w:rPr>
        <w:t>held by GPC</w:t>
      </w:r>
      <w:r w:rsidRPr="00001A6E" w:rsidR="00C053BE">
        <w:rPr>
          <w:sz w:val="20"/>
        </w:rPr>
        <w:t xml:space="preserve"> consists of a Seller Guaranty</w:t>
      </w:r>
      <w:r w:rsidRPr="00001A6E" w:rsidR="0027214C">
        <w:rPr>
          <w:sz w:val="20"/>
        </w:rPr>
        <w:t xml:space="preserve"> </w:t>
      </w:r>
      <w:r w:rsidRPr="00001A6E" w:rsidR="00EE1773">
        <w:rPr>
          <w:sz w:val="20"/>
        </w:rPr>
        <w:t>and</w:t>
      </w:r>
      <w:r w:rsidRPr="00001A6E" w:rsidR="0027214C">
        <w:rPr>
          <w:sz w:val="20"/>
        </w:rPr>
        <w:t xml:space="preserve"> the </w:t>
      </w:r>
      <w:r w:rsidRPr="00001A6E" w:rsidR="0061551B">
        <w:rPr>
          <w:sz w:val="20"/>
        </w:rPr>
        <w:t xml:space="preserve">Person providing the Seller Guaranty </w:t>
      </w:r>
      <w:r w:rsidRPr="00001A6E" w:rsidR="00841F5A">
        <w:rPr>
          <w:sz w:val="20"/>
        </w:rPr>
        <w:t>ceases to be</w:t>
      </w:r>
      <w:r w:rsidRPr="00001A6E" w:rsidR="0061551B">
        <w:rPr>
          <w:sz w:val="20"/>
        </w:rPr>
        <w:t xml:space="preserve"> </w:t>
      </w:r>
      <w:r w:rsidRPr="00001A6E">
        <w:rPr>
          <w:sz w:val="20"/>
        </w:rPr>
        <w:t xml:space="preserve">Creditworthy, </w:t>
      </w:r>
      <w:r w:rsidRPr="00001A6E" w:rsidR="00095CA1">
        <w:rPr>
          <w:sz w:val="20"/>
        </w:rPr>
        <w:t>Seller must deliver</w:t>
      </w:r>
      <w:r w:rsidRPr="00001A6E" w:rsidR="00CF3C7F">
        <w:rPr>
          <w:sz w:val="20"/>
        </w:rPr>
        <w:t xml:space="preserve"> </w:t>
      </w:r>
      <w:r w:rsidRPr="00001A6E" w:rsidR="00624A63">
        <w:rPr>
          <w:sz w:val="20"/>
        </w:rPr>
        <w:t>new</w:t>
      </w:r>
      <w:r w:rsidRPr="00001A6E" w:rsidR="00095CA1">
        <w:rPr>
          <w:sz w:val="20"/>
        </w:rPr>
        <w:t xml:space="preserve"> Eligible Collateral</w:t>
      </w:r>
      <w:r w:rsidRPr="00001A6E" w:rsidR="00624A63">
        <w:rPr>
          <w:sz w:val="20"/>
        </w:rPr>
        <w:t xml:space="preserve"> to replace that Seller Guaranty</w:t>
      </w:r>
      <w:r w:rsidRPr="00001A6E" w:rsidR="00724F33">
        <w:rPr>
          <w:sz w:val="20"/>
        </w:rPr>
        <w:t xml:space="preserve"> </w:t>
      </w:r>
      <w:r w:rsidRPr="00001A6E" w:rsidR="005B10D4">
        <w:rPr>
          <w:sz w:val="20"/>
        </w:rPr>
        <w:t xml:space="preserve">within </w:t>
      </w:r>
      <w:r w:rsidR="00514EC7">
        <w:rPr>
          <w:sz w:val="20"/>
        </w:rPr>
        <w:t>five</w:t>
      </w:r>
      <w:r w:rsidRPr="00001A6E" w:rsidR="00514EC7">
        <w:rPr>
          <w:sz w:val="20"/>
        </w:rPr>
        <w:t xml:space="preserve"> </w:t>
      </w:r>
      <w:r w:rsidR="00514EC7">
        <w:rPr>
          <w:sz w:val="20"/>
        </w:rPr>
        <w:t>Banking</w:t>
      </w:r>
      <w:r w:rsidRPr="00001A6E" w:rsidR="00514EC7">
        <w:rPr>
          <w:sz w:val="20"/>
        </w:rPr>
        <w:t xml:space="preserve"> </w:t>
      </w:r>
      <w:r w:rsidRPr="00001A6E" w:rsidR="005B10D4">
        <w:rPr>
          <w:sz w:val="20"/>
        </w:rPr>
        <w:t xml:space="preserve">Days after that Person </w:t>
      </w:r>
      <w:r w:rsidRPr="00001A6E" w:rsidR="00466141">
        <w:rPr>
          <w:sz w:val="20"/>
        </w:rPr>
        <w:t>ceases to be</w:t>
      </w:r>
      <w:r w:rsidRPr="00001A6E" w:rsidR="005B10D4">
        <w:rPr>
          <w:sz w:val="20"/>
        </w:rPr>
        <w:t xml:space="preserve"> Creditworthy</w:t>
      </w:r>
      <w:r w:rsidRPr="00001A6E" w:rsidR="00466141">
        <w:rPr>
          <w:sz w:val="20"/>
        </w:rPr>
        <w:t>.</w:t>
      </w:r>
      <w:r w:rsidR="00607762">
        <w:rPr>
          <w:sz w:val="20"/>
        </w:rPr>
        <w:t xml:space="preserve"> If Seller lacked sufficient advance notice of the Person providing the Seller Guaranty ceasing to be Creditworthy to deliver the draft (unissued) Letter of Credit or Seller Guaranty to GPC for review within the time stated in this Section 5.15, Seller must notify GPC of the event by no later than three Banking Days after Seller knew or should have known of the event and promptly submit the draft (unissued) Letter of Credit or Seller Guaranty for GPC’s review and approval and, upon approval, promptly deliver the Eligible Collateral to GPC by no later than two Banking Days after receipt of GPC’s approval.</w:t>
      </w:r>
    </w:p>
    <w:p w:rsidRPr="00B71D5E" w:rsidR="00265F40" w:rsidP="00B71D5E" w:rsidRDefault="00265F40" w14:paraId="3FE174A9" w14:textId="77777777">
      <w:pPr>
        <w:pStyle w:val="zGTC02"/>
        <w:rPr>
          <w:rFonts w:ascii="Arial" w:hAnsi="Arial" w:cs="Arial"/>
          <w:vanish/>
          <w:specVanish/>
        </w:rPr>
      </w:pPr>
      <w:bookmarkStart w:name="_Toc143607251" w:id="356"/>
      <w:bookmarkStart w:name="_Toc181639461" w:id="357"/>
      <w:bookmarkStart w:name="_Toc214644781" w:id="358"/>
      <w:bookmarkStart w:name="_Toc138350403" w:id="359"/>
      <w:r>
        <w:rPr>
          <w:rFonts w:ascii="Arial" w:hAnsi="Arial" w:cs="Arial"/>
        </w:rPr>
        <w:t>Performance Test.</w:t>
      </w:r>
      <w:bookmarkEnd w:id="356"/>
      <w:bookmarkEnd w:id="357"/>
      <w:bookmarkEnd w:id="358"/>
    </w:p>
    <w:p w:rsidR="00265F40" w:rsidP="00B71D5E" w:rsidRDefault="00265F40" w14:paraId="47454326" w14:textId="77777777">
      <w:pPr>
        <w:pStyle w:val="zGNormal"/>
        <w:spacing w:after="120"/>
      </w:pPr>
      <w:r>
        <w:t xml:space="preserve"> </w:t>
      </w:r>
      <w:r>
        <w:rPr>
          <w:highlight w:val="cyan"/>
        </w:rPr>
        <w:t>[</w:t>
      </w:r>
      <w:r>
        <w:rPr>
          <w:b/>
          <w:bCs/>
          <w:i/>
          <w:iCs/>
          <w:highlight w:val="cyan"/>
          <w:u w:val="single"/>
        </w:rPr>
        <w:t>Note to Bidders</w:t>
      </w:r>
      <w:r>
        <w:rPr>
          <w:b/>
          <w:bCs/>
          <w:i/>
          <w:iCs/>
          <w:highlight w:val="cyan"/>
        </w:rPr>
        <w:t>: Placeholder for language giving GPC the right to require performance testing at the Facility before Closing</w:t>
      </w:r>
      <w:r>
        <w:rPr>
          <w:highlight w:val="cyan"/>
        </w:rPr>
        <w:t>]</w:t>
      </w:r>
    </w:p>
    <w:p w:rsidRPr="00B71D5E" w:rsidR="002A6A8D" w:rsidP="002A6A8D" w:rsidRDefault="002A6A8D" w14:paraId="472DD4C8" w14:textId="77777777">
      <w:pPr>
        <w:pStyle w:val="zGTC02"/>
        <w:rPr>
          <w:vanish/>
          <w:specVanish/>
        </w:rPr>
      </w:pPr>
      <w:bookmarkStart w:name="_Toc165846820" w:id="360"/>
      <w:bookmarkStart w:name="_Toc181639462" w:id="361"/>
      <w:bookmarkStart w:name="_Toc214644782" w:id="362"/>
      <w:r>
        <w:t>Casualty Loss.</w:t>
      </w:r>
      <w:bookmarkEnd w:id="360"/>
      <w:bookmarkEnd w:id="361"/>
      <w:bookmarkEnd w:id="362"/>
    </w:p>
    <w:p w:rsidR="002A6A8D" w:rsidP="002A6A8D" w:rsidRDefault="002A6A8D" w14:paraId="4448DD8A" w14:textId="77777777">
      <w:pPr>
        <w:pStyle w:val="zGNormal"/>
        <w:spacing w:after="120"/>
      </w:pPr>
      <w:r>
        <w:t xml:space="preserve"> </w:t>
      </w:r>
    </w:p>
    <w:p w:rsidRPr="00AB38D8" w:rsidR="002A6A8D" w:rsidP="002A6A8D" w:rsidRDefault="002A6A8D" w14:paraId="3A67CBA7" w14:textId="77777777">
      <w:pPr>
        <w:pStyle w:val="zGTC03"/>
      </w:pPr>
      <w:r>
        <w:rPr>
          <w:b/>
          <w:bCs/>
        </w:rPr>
        <w:t>Occurrence of Casualty Loss.</w:t>
      </w:r>
      <w:r>
        <w:t xml:space="preserve"> If any of the Facility Assets are damaged or destroyed by casualty loss or other similar event or circumstance (ordinary wear and tear excepted) during the Interim Period (“</w:t>
      </w:r>
      <w:r>
        <w:rPr>
          <w:b/>
          <w:bCs/>
        </w:rPr>
        <w:t>Casualty Loss</w:t>
      </w:r>
      <w:r>
        <w:t>”), Seller must notify GPC promptly in writing upon Seller becoming aware of the event. Promptly after the date of the event giving rise to the Casualty Loss, Seller and GPC will obtain a detailed written estimate from a qualified, independent appraisal firm reasonably acceptable to GPC and Seller setting forth: (i)  the estimated cost of replacing, repairing and  restoring such damaged or destroyed Facility Assets to a condition that: (a) satisfies the Seller’s representations, warranties and covenants in this APA, including, for the avoidance of doubt, a condition that satisfies Section 3.14.1 (</w:t>
      </w:r>
      <w:r>
        <w:rPr>
          <w:i/>
          <w:iCs/>
        </w:rPr>
        <w:t>Condition of Facility Assets</w:t>
      </w:r>
      <w:r>
        <w:t>) and that will enable compliance with Facility Contracts;  and (b) otherwise is acceptable to GPC, in its reasonable discretion; and (ii) related expenses plus all lost revenue reasonably expected to result from such Casualty Loss (the estimated costs and expenses regarding the Facility Assets, “</w:t>
      </w:r>
      <w:r>
        <w:rPr>
          <w:b/>
          <w:bCs/>
        </w:rPr>
        <w:t>Restoration Cost</w:t>
      </w:r>
      <w:r>
        <w:t>”). Seller must pay the costs and expenses associated with obtaining any such written estimate.</w:t>
      </w:r>
    </w:p>
    <w:p w:rsidRPr="00AB38D8" w:rsidR="002A6A8D" w:rsidP="002A6A8D" w:rsidRDefault="002A6A8D" w14:paraId="3AFC9B50" w14:textId="52CBC52D">
      <w:pPr>
        <w:pStyle w:val="zGTC03"/>
      </w:pPr>
      <w:r>
        <w:rPr>
          <w:b/>
          <w:bCs/>
        </w:rPr>
        <w:t>Casualty Loss that is Not a Material Casualty Loss.</w:t>
      </w:r>
      <w:r>
        <w:t xml:space="preserve"> If the Casualty Loss is not a Material Casualty Loss and the work to replace, repair, or restore the Facility Assets as required under this Section 5.17 (</w:t>
      </w:r>
      <w:r>
        <w:rPr>
          <w:i/>
          <w:iCs/>
        </w:rPr>
        <w:t>Casualty Loss</w:t>
      </w:r>
      <w:r>
        <w:t>) may be completed before the Outside Date, Seller must, at its expense, promptly replace, repair, and restore the Facility Assets before Closing (and by no later than the Outside Date) to a condition that: (i) satisfies Seller’s representations, warranties, and covenants in this APA, including, a condition that satisfies Section 3.14.1 (</w:t>
      </w:r>
      <w:r>
        <w:rPr>
          <w:i/>
          <w:iCs/>
        </w:rPr>
        <w:t>Condition of Facility Assets</w:t>
      </w:r>
      <w:r>
        <w:t xml:space="preserve">) and that will enable compliance with Facility Contracts; and (ii) is otherwise is acceptable to GPC, in GPC’s reasonable discretion, unless GPC elects, in GPC’s sole discretion, to terminate this APA by delivering notice to Seller within 30 days after GPC’s receipt of the Restoration Cost estimate, except that, if GPC does not elect to terminate this APA, Seller may offer to GPC to reduce the amount of the Base Purchase Price by the Restoration Cost in lieu of performing the required replacement, repair, and restoration work. GPC will not be obligated to accept Seller’s </w:t>
      </w:r>
      <w:proofErr w:type="gramStart"/>
      <w:r>
        <w:t>offer</w:t>
      </w:r>
      <w:proofErr w:type="gramEnd"/>
      <w:r>
        <w:t xml:space="preserve"> and any GPC acceptance of the offer will be in GPC’s sole discretion.</w:t>
      </w:r>
    </w:p>
    <w:p w:rsidRPr="00AB38D8" w:rsidR="002A6A8D" w:rsidP="002A6A8D" w:rsidRDefault="002A6A8D" w14:paraId="07DF1725" w14:textId="46EBEB37">
      <w:pPr>
        <w:pStyle w:val="zGTC03"/>
      </w:pPr>
      <w:r>
        <w:rPr>
          <w:b/>
          <w:bCs/>
        </w:rPr>
        <w:t xml:space="preserve">Casualty Loss That Is </w:t>
      </w:r>
      <w:proofErr w:type="gramStart"/>
      <w:r>
        <w:rPr>
          <w:b/>
          <w:bCs/>
        </w:rPr>
        <w:t>a Material</w:t>
      </w:r>
      <w:proofErr w:type="gramEnd"/>
      <w:r>
        <w:rPr>
          <w:b/>
          <w:bCs/>
        </w:rPr>
        <w:t xml:space="preserve"> Casualty Loss.</w:t>
      </w:r>
      <w:r>
        <w:t xml:space="preserve"> If the Casualty Loss is a </w:t>
      </w:r>
      <w:r>
        <w:rPr>
          <w:b/>
        </w:rPr>
        <w:t>Material Casualty Loss</w:t>
      </w:r>
      <w:r>
        <w:t>, or if the Casualty Loss is not a Material Casualty Loss but the work to replace, repair, or restore the Facility Assets as required under this Section 5.17 (</w:t>
      </w:r>
      <w:r>
        <w:rPr>
          <w:i/>
          <w:iCs/>
        </w:rPr>
        <w:t>Casualty Loss</w:t>
      </w:r>
      <w:r>
        <w:t xml:space="preserve">) cannot be completed before the Outside Date, then by notice to Seller within 30 days after the receipt by GPC of the Restoration Cost estimate, GPC may elect, in its sole discretion, to: (i) terminate this APA; or (ii) enter into negotiations with Seller to try to settle the Material Casualty Loss on terms mutually acceptable to the Parties, in which </w:t>
      </w:r>
      <w:r>
        <w:lastRenderedPageBreak/>
        <w:t>case Seller must enter into good faith negotiations with GPC; however, GPC may terminate the negotiations at any time and elect  to terminate this APA by notice to Seller. Neither GPC nor Seller will be obligated to reach agreement on any such settlement. GPC will be entitled to condition any settlement of a Material Casualty Loss that does not involve the complete replacement, repair, or restoration of the Facility Assets as required under this Section 5.17 upon a fair and equitable reduction to the Base Purchase Price and assignment to GPC of any insurance proceeds Seller received regarding the Casualty Loss and Seller did not use to perform the required replacement, repair, and restoration of such Facility Assets.</w:t>
      </w:r>
    </w:p>
    <w:p w:rsidRPr="00AB38D8" w:rsidR="002A6A8D" w:rsidP="002A6A8D" w:rsidRDefault="002A6A8D" w14:paraId="14879A12" w14:textId="77777777">
      <w:pPr>
        <w:pStyle w:val="zGTC02"/>
      </w:pPr>
      <w:bookmarkStart w:name="_Toc165846821" w:id="363"/>
      <w:bookmarkStart w:name="_Toc181639463" w:id="364"/>
      <w:bookmarkStart w:name="_Toc214644783" w:id="365"/>
      <w:r>
        <w:t>Update of Seller Disclosure Schedule.</w:t>
      </w:r>
      <w:bookmarkEnd w:id="363"/>
      <w:bookmarkEnd w:id="364"/>
      <w:bookmarkEnd w:id="365"/>
    </w:p>
    <w:p w:rsidR="0093071C" w:rsidP="00EC49D2" w:rsidRDefault="002A6A8D" w14:paraId="5AD0B92A" w14:textId="6966086F">
      <w:pPr>
        <w:pStyle w:val="zGTC03"/>
      </w:pPr>
      <w:r>
        <w:rPr>
          <w:b/>
          <w:bCs/>
        </w:rPr>
        <w:t>Schedule Updates.</w:t>
      </w:r>
      <w:r>
        <w:t xml:space="preserve"> During the Interim Period, Seller must promptly supplement or amend and deliver to GPC an update to the Seller Disclosure Schedule with respect to any matter (regardless of whether such matter arose </w:t>
      </w:r>
      <w:r w:rsidR="0090318B">
        <w:t>before</w:t>
      </w:r>
      <w:r>
        <w:t>, on, or after the Effective Date, including any update for any event, circumstance, or change that, if not disclosed by the Effective Date, would constitute a breach by Seller of any of the covenants or agreements contained in this APA) if necessary to remedy any inaccuracy of any representation or warranty of Seller (each, a “</w:t>
      </w:r>
      <w:r>
        <w:rPr>
          <w:b/>
          <w:bCs/>
        </w:rPr>
        <w:t>Schedule Update</w:t>
      </w:r>
      <w:r>
        <w:t>”). Seller must also provide a Schedule Update</w:t>
      </w:r>
      <w:r w:rsidR="00EC49D2">
        <w:t xml:space="preserve"> </w:t>
      </w:r>
      <w:r w:rsidR="00DC2FEE">
        <w:t>that reflects any event, circumstance, or change that arises after the Effective Date that</w:t>
      </w:r>
      <w:r w:rsidR="00116ABC">
        <w:t>,</w:t>
      </w:r>
      <w:r w:rsidR="00DC2FEE">
        <w:t xml:space="preserve"> if existing or occurring on or before the Effective Date, </w:t>
      </w:r>
      <w:r w:rsidRPr="009D5B23" w:rsidR="00DC2FEE">
        <w:t xml:space="preserve">would have been required to be set forth or described in the Seller Disclosure Schedule </w:t>
      </w:r>
      <w:r w:rsidR="00525766">
        <w:t>fo</w:t>
      </w:r>
      <w:r w:rsidR="00DB61F1">
        <w:t xml:space="preserve">r Seller’s representations and warranties to have been true and correct </w:t>
      </w:r>
      <w:r w:rsidRPr="009D5B23" w:rsidR="00DC2FEE">
        <w:t>(“</w:t>
      </w:r>
      <w:r w:rsidRPr="009D5B23" w:rsidR="00DC2FEE">
        <w:rPr>
          <w:b/>
          <w:bCs/>
        </w:rPr>
        <w:t>New Matter</w:t>
      </w:r>
      <w:r w:rsidRPr="009D5B23" w:rsidR="00DC2FEE">
        <w:t>”). In addition, during the Interim Period, Seller must promptly deliver to GPC notice of any New Matter that</w:t>
      </w:r>
      <w:r w:rsidRPr="009D5B23" w:rsidR="00693554">
        <w:t xml:space="preserve"> </w:t>
      </w:r>
      <w:bookmarkStart w:name="_Hlk171365622" w:id="366"/>
      <w:r w:rsidRPr="009D5B23" w:rsidR="00AF581C">
        <w:t xml:space="preserve">(i) </w:t>
      </w:r>
      <w:r w:rsidRPr="009D5B23" w:rsidR="00DC2FEE">
        <w:t xml:space="preserve">would reasonably be expected to result </w:t>
      </w:r>
      <w:r w:rsidRPr="008748B9" w:rsidR="00DC2FEE">
        <w:t xml:space="preserve">in the failure of any condition to Closing set forth in </w:t>
      </w:r>
      <w:bookmarkStart w:name="_Hlk171353454" w:id="367"/>
      <w:bookmarkStart w:name="_Hlk171344825" w:id="368"/>
      <w:r w:rsidRPr="008748B9" w:rsidR="00DC2FEE">
        <w:t>Section 6.2.1 (</w:t>
      </w:r>
      <w:r w:rsidRPr="008748B9" w:rsidR="00DC2FEE">
        <w:rPr>
          <w:i/>
        </w:rPr>
        <w:t>Seller’s Representations and Warranties</w:t>
      </w:r>
      <w:r w:rsidRPr="008748B9" w:rsidR="00DC2FEE">
        <w:t>)</w:t>
      </w:r>
      <w:bookmarkEnd w:id="367"/>
      <w:r w:rsidRPr="008748B9" w:rsidR="00DC2FEE">
        <w:t xml:space="preserve"> </w:t>
      </w:r>
      <w:bookmarkEnd w:id="368"/>
      <w:r w:rsidRPr="008748B9" w:rsidR="00DC2FEE">
        <w:t>to be satisfied</w:t>
      </w:r>
      <w:r w:rsidRPr="008748B9" w:rsidR="00693554">
        <w:t>,</w:t>
      </w:r>
      <w:r w:rsidRPr="008748B9" w:rsidR="00DC2FEE">
        <w:t xml:space="preserve"> </w:t>
      </w:r>
      <w:bookmarkEnd w:id="366"/>
      <w:r w:rsidRPr="008748B9" w:rsidR="00DC2FEE">
        <w:t xml:space="preserve">or </w:t>
      </w:r>
      <w:r w:rsidRPr="008748B9" w:rsidR="00693554">
        <w:t>(ii)</w:t>
      </w:r>
      <w:r w:rsidRPr="008748B9" w:rsidR="00DC2FEE">
        <w:t xml:space="preserve"> constitutes a breach by Seller of any of the covenants or agreements contained in this APA if the New Matter would reasonably be expected to result in the failure of any of the conditions to Closing set forth in </w:t>
      </w:r>
      <w:bookmarkStart w:name="_Hlk171365867" w:id="369"/>
      <w:r w:rsidRPr="008748B9" w:rsidR="00DC2FEE">
        <w:t>Section 6.2.2 (</w:t>
      </w:r>
      <w:r w:rsidRPr="008748B9" w:rsidR="00DC2FEE">
        <w:rPr>
          <w:i/>
        </w:rPr>
        <w:t xml:space="preserve">Performance </w:t>
      </w:r>
      <w:r w:rsidRPr="008748B9" w:rsidR="0090318B">
        <w:rPr>
          <w:i/>
        </w:rPr>
        <w:t>Before</w:t>
      </w:r>
      <w:r w:rsidRPr="008748B9" w:rsidR="00DC2FEE">
        <w:rPr>
          <w:i/>
        </w:rPr>
        <w:t xml:space="preserve"> and at Closing</w:t>
      </w:r>
      <w:r w:rsidRPr="008748B9" w:rsidR="00DC2FEE">
        <w:t xml:space="preserve">) </w:t>
      </w:r>
      <w:bookmarkEnd w:id="369"/>
      <w:r w:rsidRPr="008748B9" w:rsidR="00DC2FEE">
        <w:t>to be satisfied. Seller</w:t>
      </w:r>
      <w:r w:rsidR="00DC2FEE">
        <w:t xml:space="preserve"> must deliver any Schedule Update </w:t>
      </w:r>
      <w:r w:rsidR="00A45DDD">
        <w:t>required under this Section 5.18.1 (</w:t>
      </w:r>
      <w:r w:rsidRPr="00A45DDD" w:rsidR="00A45DDD">
        <w:rPr>
          <w:i/>
          <w:iCs/>
        </w:rPr>
        <w:t>Schedule Updates</w:t>
      </w:r>
      <w:r w:rsidR="00A45DDD">
        <w:t xml:space="preserve">) </w:t>
      </w:r>
      <w:r w:rsidR="00DC2FEE">
        <w:t xml:space="preserve">to GPC no later than 10 Business Days after </w:t>
      </w:r>
      <w:r w:rsidR="00A45DDD">
        <w:t>Seller’s</w:t>
      </w:r>
      <w:r w:rsidR="00DC2FEE">
        <w:t xml:space="preserve"> discovery </w:t>
      </w:r>
      <w:r w:rsidR="00A45DDD">
        <w:t>of the New Matter</w:t>
      </w:r>
      <w:r w:rsidR="00DC2FEE">
        <w:t xml:space="preserve">.  </w:t>
      </w:r>
    </w:p>
    <w:p w:rsidR="00E65CB6" w:rsidP="001949D4" w:rsidRDefault="002A6A8D" w14:paraId="6F4CE77F" w14:textId="63AB6655">
      <w:pPr>
        <w:pStyle w:val="zGTC03"/>
      </w:pPr>
      <w:r>
        <w:rPr>
          <w:b/>
          <w:bCs/>
        </w:rPr>
        <w:t>Effect of Schedule Updates; GPC Termination Right.</w:t>
      </w:r>
      <w:r>
        <w:t xml:space="preserve"> If the Schedule Update or existence of any New Matter or all New Matters taken as a whole: (i) would reasonably be expected to result in the failure of any condition to Closing set forth in Section 6.2.1 (</w:t>
      </w:r>
      <w:r>
        <w:rPr>
          <w:i/>
          <w:iCs/>
        </w:rPr>
        <w:t>Seller’s Representations and Warranties</w:t>
      </w:r>
      <w:r>
        <w:t>) or Section 6.2.2 (</w:t>
      </w:r>
      <w:r>
        <w:rPr>
          <w:i/>
          <w:iCs/>
        </w:rPr>
        <w:t xml:space="preserve">Performance </w:t>
      </w:r>
      <w:r w:rsidR="0090318B">
        <w:rPr>
          <w:i/>
          <w:iCs/>
        </w:rPr>
        <w:t>Before</w:t>
      </w:r>
      <w:r>
        <w:rPr>
          <w:i/>
          <w:iCs/>
        </w:rPr>
        <w:t xml:space="preserve"> and at Closing</w:t>
      </w:r>
      <w:r>
        <w:t xml:space="preserve">) to be satisfied; (ii) would reasonably be expected to have a Seller Material Adverse Effect; or (iii) relates to any Seller Fundamental Representation, GPC will have the right to either: (a) terminate this APA by delivering notice to Seller within ten Business Days after </w:t>
      </w:r>
      <w:r w:rsidR="009D5B23">
        <w:t xml:space="preserve">GPC’s </w:t>
      </w:r>
      <w:r>
        <w:t>receipt</w:t>
      </w:r>
      <w:r w:rsidR="009D5B23">
        <w:t xml:space="preserve"> </w:t>
      </w:r>
      <w:r>
        <w:t>of the Schedule Update; or (b) subject to satisfaction of the other conditions to Closing set forth in Section 6.2 (</w:t>
      </w:r>
      <w:r>
        <w:rPr>
          <w:i/>
          <w:iCs/>
        </w:rPr>
        <w:t>Conditions to Obligations of GPC</w:t>
      </w:r>
      <w:r>
        <w:t>), consummate the transactions contemplated by this APA. If GPC has the right to terminate this APA in accordance with this Section 5.18.2 (</w:t>
      </w:r>
      <w:r>
        <w:rPr>
          <w:i/>
          <w:iCs/>
        </w:rPr>
        <w:t>Effect of Schedule Updates; GPC Termination Right</w:t>
      </w:r>
      <w:r>
        <w:t xml:space="preserve">) but elects to consummate the Closing, then the Schedule Update will </w:t>
      </w:r>
      <w:r w:rsidR="00E65CB6">
        <w:t xml:space="preserve">have the effect described in </w:t>
      </w:r>
      <w:r w:rsidR="008531AE">
        <w:t xml:space="preserve">subsections (a)-(c) of </w:t>
      </w:r>
      <w:r w:rsidR="00E65CB6">
        <w:t>Section 5.18.3 (</w:t>
      </w:r>
      <w:r w:rsidRPr="00E65CB6" w:rsidR="00E65CB6">
        <w:rPr>
          <w:i/>
          <w:iCs/>
        </w:rPr>
        <w:t>Effect of Schedule Updates; No GPC Termination Right</w:t>
      </w:r>
      <w:r w:rsidR="00E65CB6">
        <w:t>).</w:t>
      </w:r>
    </w:p>
    <w:p w:rsidRPr="000B51D5" w:rsidR="00370EA8" w:rsidP="001949D4" w:rsidRDefault="00C537C6" w14:paraId="3A18334B" w14:textId="463B2BDC">
      <w:pPr>
        <w:pStyle w:val="zGTC03"/>
      </w:pPr>
      <w:r>
        <w:rPr>
          <w:b/>
          <w:bCs/>
        </w:rPr>
        <w:t xml:space="preserve">Effect of Schedule Updates; No GPC Termination Right. </w:t>
      </w:r>
      <w:r>
        <w:t>If the Schedule Update or existence of any New Matter or all New Matters taken as a whole</w:t>
      </w:r>
      <w:r w:rsidR="003B40AF">
        <w:t>: (i)</w:t>
      </w:r>
      <w:r>
        <w:t xml:space="preserve"> would not reasonably be expected to result in the failure of any condition to Closing set forth in Section 6.2.1 (</w:t>
      </w:r>
      <w:r>
        <w:rPr>
          <w:i/>
          <w:iCs/>
        </w:rPr>
        <w:t>Seller’s Representations and Warranties</w:t>
      </w:r>
      <w:r>
        <w:t>) or Section 6.2.2 (</w:t>
      </w:r>
      <w:r>
        <w:rPr>
          <w:i/>
          <w:iCs/>
        </w:rPr>
        <w:t xml:space="preserve">Performance </w:t>
      </w:r>
      <w:r w:rsidR="0090318B">
        <w:rPr>
          <w:i/>
          <w:iCs/>
        </w:rPr>
        <w:t>Before</w:t>
      </w:r>
      <w:r>
        <w:rPr>
          <w:i/>
          <w:iCs/>
        </w:rPr>
        <w:t xml:space="preserve"> and at Closing</w:t>
      </w:r>
      <w:r>
        <w:t>) to be satisfied</w:t>
      </w:r>
      <w:r w:rsidR="001C0B86">
        <w:t>;</w:t>
      </w:r>
      <w:r w:rsidR="003B40AF">
        <w:t xml:space="preserve"> (ii)</w:t>
      </w:r>
      <w:r w:rsidR="001C0B86">
        <w:t xml:space="preserve"> would not reasonably be expected to have a Seller Material Adverse Effect; and (iii) do not relate to any Seller Fundamental Representation,</w:t>
      </w:r>
      <w:r>
        <w:t xml:space="preserve"> then the Schedule Update will be deemed: (</w:t>
      </w:r>
      <w:r w:rsidR="001C0B86">
        <w:t>a</w:t>
      </w:r>
      <w:r>
        <w:t>) to have amended the applicable Seller Disclosure Schedule; (</w:t>
      </w:r>
      <w:r w:rsidR="001C0B86">
        <w:t>b</w:t>
      </w:r>
      <w:r>
        <w:t xml:space="preserve">) to have qualified the representations and warranties contained in </w:t>
      </w:r>
      <w:r>
        <w:rPr>
          <w:rFonts w:cs="Arial"/>
        </w:rPr>
        <w:t>Part 3 (</w:t>
      </w:r>
      <w:r>
        <w:rPr>
          <w:rFonts w:cs="Arial"/>
          <w:i/>
          <w:iCs/>
        </w:rPr>
        <w:t>Representations and Warranties of Seller</w:t>
      </w:r>
      <w:r>
        <w:rPr>
          <w:rFonts w:cs="Arial"/>
        </w:rPr>
        <w:t>)</w:t>
      </w:r>
      <w:r w:rsidR="008B35C2">
        <w:rPr>
          <w:rFonts w:cs="Arial"/>
        </w:rPr>
        <w:t>,</w:t>
      </w:r>
      <w:r>
        <w:rPr>
          <w:rFonts w:cs="Arial"/>
        </w:rPr>
        <w:t xml:space="preserve"> as applicable;</w:t>
      </w:r>
      <w:r>
        <w:t xml:space="preserve"> and (</w:t>
      </w:r>
      <w:r w:rsidR="001C0B86">
        <w:t>c</w:t>
      </w:r>
      <w:r>
        <w:t xml:space="preserve">) to have cured any </w:t>
      </w:r>
      <w:r w:rsidR="008B35C2">
        <w:t xml:space="preserve">inaccuracy in or </w:t>
      </w:r>
      <w:r>
        <w:t xml:space="preserve">breach of any </w:t>
      </w:r>
      <w:r w:rsidR="008B35C2">
        <w:t xml:space="preserve">representation or warranty or breach of any </w:t>
      </w:r>
      <w:r>
        <w:t>covenant or agreement</w:t>
      </w:r>
      <w:r w:rsidR="006B6E3A">
        <w:t xml:space="preserve"> that otherwise might have existed by reason of the New Matter(s)</w:t>
      </w:r>
      <w:r>
        <w:t>, in each case, solely for purposes of determining whether or not the conditions set forth in Section 6.2.1</w:t>
      </w:r>
      <w:r w:rsidR="007905BA">
        <w:t xml:space="preserve">, </w:t>
      </w:r>
      <w:r>
        <w:t>Section 6.2.2</w:t>
      </w:r>
      <w:r w:rsidR="007905BA">
        <w:t>, and Section 6.2.3 (</w:t>
      </w:r>
      <w:r w:rsidRPr="007905BA" w:rsidR="007905BA">
        <w:rPr>
          <w:i/>
          <w:iCs/>
        </w:rPr>
        <w:t>Seller Material Adverse Effect</w:t>
      </w:r>
      <w:r w:rsidR="007905BA">
        <w:t>)</w:t>
      </w:r>
      <w:r>
        <w:t xml:space="preserve"> have been satisfied</w:t>
      </w:r>
      <w:r w:rsidR="00920E39">
        <w:t xml:space="preserve">. </w:t>
      </w:r>
      <w:r w:rsidRPr="00CA2A34" w:rsidR="00920E39">
        <w:t>Nothing in this Section 5.18 (</w:t>
      </w:r>
      <w:r w:rsidRPr="00CA2A34" w:rsidR="00920E39">
        <w:rPr>
          <w:i/>
          <w:iCs/>
        </w:rPr>
        <w:t>Update of Seller Disclosure Schedule</w:t>
      </w:r>
      <w:r w:rsidRPr="00CA2A34" w:rsidR="00920E39">
        <w:t xml:space="preserve">) will </w:t>
      </w:r>
      <w:r w:rsidRPr="00CA2A34" w:rsidR="002565A9">
        <w:t xml:space="preserve">modify the </w:t>
      </w:r>
      <w:r w:rsidRPr="00CA2A34">
        <w:t xml:space="preserve">indemnification </w:t>
      </w:r>
      <w:r w:rsidRPr="00CA2A34" w:rsidR="00BF1D6C">
        <w:t xml:space="preserve">obligations </w:t>
      </w:r>
      <w:r w:rsidRPr="00CA2A34" w:rsidR="00D56932">
        <w:t>or</w:t>
      </w:r>
      <w:r w:rsidRPr="00CA2A34" w:rsidR="00BF1D6C">
        <w:t xml:space="preserve"> </w:t>
      </w:r>
      <w:r w:rsidRPr="00CA2A34">
        <w:t xml:space="preserve">rights </w:t>
      </w:r>
      <w:r w:rsidRPr="00CA2A34" w:rsidR="00BF1D6C">
        <w:t>under</w:t>
      </w:r>
      <w:r w:rsidRPr="00CA2A34">
        <w:t xml:space="preserve"> this APA</w:t>
      </w:r>
      <w:r w:rsidRPr="00CA2A34" w:rsidR="00C8003A">
        <w:t xml:space="preserve"> with respect to any matter, including any Schedule Update or New Matter</w:t>
      </w:r>
      <w:r w:rsidRPr="00CA2A34">
        <w:t>,</w:t>
      </w:r>
      <w:r w:rsidRPr="00CA2A34" w:rsidR="001B45B2">
        <w:t xml:space="preserve"> </w:t>
      </w:r>
      <w:r w:rsidRPr="00CA2A34">
        <w:t xml:space="preserve">and Seller </w:t>
      </w:r>
      <w:r w:rsidRPr="00CA2A34" w:rsidR="005C19C4">
        <w:t>will remain responsible for</w:t>
      </w:r>
      <w:r w:rsidRPr="00CA2A34" w:rsidR="002D6205">
        <w:t>,</w:t>
      </w:r>
      <w:r w:rsidRPr="00CA2A34" w:rsidR="005C19C4">
        <w:t xml:space="preserve"> </w:t>
      </w:r>
      <w:r w:rsidRPr="00CA2A34" w:rsidR="002D6205">
        <w:t>and must provide, all</w:t>
      </w:r>
      <w:r w:rsidRPr="00CA2A34">
        <w:t xml:space="preserve"> indemnities </w:t>
      </w:r>
      <w:r w:rsidRPr="00CA2A34" w:rsidR="002D6205">
        <w:t xml:space="preserve">required </w:t>
      </w:r>
      <w:r w:rsidRPr="00CA2A34" w:rsidR="00634870">
        <w:t>by</w:t>
      </w:r>
      <w:r w:rsidRPr="00CA2A34">
        <w:t xml:space="preserve"> this APA</w:t>
      </w:r>
      <w:r w:rsidRPr="00CA2A34" w:rsidR="00D5323F">
        <w:t>, including in respect of all Schedule Updates and New Matters</w:t>
      </w:r>
      <w:r w:rsidRPr="00CA2A34">
        <w:t>.</w:t>
      </w:r>
    </w:p>
    <w:p w:rsidRPr="00AB38D8" w:rsidR="002A6A8D" w:rsidP="002A6A8D" w:rsidRDefault="002A6A8D" w14:paraId="4D748D60" w14:textId="77777777">
      <w:pPr>
        <w:pStyle w:val="zGTC02"/>
        <w:rPr>
          <w:vanish/>
          <w:specVanish/>
        </w:rPr>
      </w:pPr>
      <w:bookmarkStart w:name="_Toc181639464" w:id="370"/>
      <w:bookmarkStart w:name="_Toc214644784" w:id="371"/>
      <w:bookmarkStart w:name="_Toc165846822" w:id="372"/>
      <w:proofErr w:type="gramStart"/>
      <w:r>
        <w:t>Transfer of</w:t>
      </w:r>
      <w:proofErr w:type="gramEnd"/>
      <w:r>
        <w:t xml:space="preserve"> Facility to GPC Following Closing.</w:t>
      </w:r>
      <w:bookmarkEnd w:id="370"/>
      <w:bookmarkEnd w:id="371"/>
    </w:p>
    <w:p w:rsidRPr="00AB38D8" w:rsidR="002A6A8D" w:rsidP="007C5BDD" w:rsidRDefault="002A6A8D" w14:paraId="0B608082" w14:textId="77777777">
      <w:pPr>
        <w:pStyle w:val="zGNormal6"/>
        <w:rPr>
          <w:bCs/>
        </w:rPr>
      </w:pPr>
      <w:r>
        <w:t xml:space="preserve"> </w:t>
      </w:r>
      <w:r>
        <w:rPr>
          <w:bCs/>
        </w:rPr>
        <w:t xml:space="preserve"> To facilitate GPC’s planned transfer of the Facility from Seller to GPC immediately following Closing, during the Interim Period:</w:t>
      </w:r>
      <w:bookmarkEnd w:id="372"/>
      <w:r>
        <w:rPr>
          <w:bCs/>
        </w:rPr>
        <w:t xml:space="preserve"> </w:t>
      </w:r>
    </w:p>
    <w:p w:rsidRPr="007B0EDD" w:rsidR="002A6A8D" w:rsidP="002A6A8D" w:rsidRDefault="002A6A8D" w14:paraId="102EAC88" w14:textId="77777777">
      <w:pPr>
        <w:pStyle w:val="zGTC03"/>
      </w:pPr>
      <w:r>
        <w:lastRenderedPageBreak/>
        <w:t xml:space="preserve">GPC will have the right to, and Seller must permit GPC </w:t>
      </w:r>
      <w:proofErr w:type="gramStart"/>
      <w:r>
        <w:t>to,</w:t>
      </w:r>
      <w:proofErr w:type="gramEnd"/>
      <w:r>
        <w:t xml:space="preserve"> contact and discuss with the applicable Governmental Authorities the planned assignment, modification, or other transfer, following the Closing, of the Facility Permits respecting the Facility from Seller to GPC. Following Closing, to the extent necessary and requested by GPC, Seller must reasonably cooperate with GPC’s efforts to complete such assignment, modification, or transfer.</w:t>
      </w:r>
      <w:r>
        <w:rPr>
          <w:i/>
          <w:iCs/>
        </w:rPr>
        <w:t xml:space="preserve"> </w:t>
      </w:r>
      <w:r>
        <w:rPr>
          <w:highlight w:val="cyan"/>
        </w:rPr>
        <w:t>[</w:t>
      </w:r>
      <w:r>
        <w:rPr>
          <w:b/>
          <w:bCs/>
          <w:i/>
          <w:iCs/>
          <w:highlight w:val="cyan"/>
          <w:u w:val="single"/>
        </w:rPr>
        <w:t>Note to Bidders</w:t>
      </w:r>
      <w:r>
        <w:rPr>
          <w:b/>
          <w:bCs/>
          <w:i/>
          <w:iCs/>
          <w:highlight w:val="cyan"/>
        </w:rPr>
        <w:t>: Applicable Permit transfer matters to be specifically addressed.</w:t>
      </w:r>
      <w:r>
        <w:rPr>
          <w:highlight w:val="cyan"/>
        </w:rPr>
        <w:t>]</w:t>
      </w:r>
    </w:p>
    <w:p w:rsidRPr="00032180" w:rsidR="002A6A8D" w:rsidP="002A6A8D" w:rsidRDefault="002A6A8D" w14:paraId="699DA4D0" w14:textId="77777777">
      <w:pPr>
        <w:pStyle w:val="zGTC03"/>
      </w:pPr>
      <w:r>
        <w:rPr>
          <w:rFonts w:cs="Arial"/>
          <w:bCs/>
          <w:kern w:val="0"/>
          <w:szCs w:val="20"/>
        </w:rPr>
        <w:t xml:space="preserve">For the avoidance of doubt, neither any action taken or not taken by any such Governmental Authorities nor any failure or inability, for any reason, to transfer the Facility (or any part of it) from the Seller to GPC following Closing will affect in any way the liabilities and obligations of the Parties under this APA, including to consummate the transactions contemplated hereby and thereby and the Closing on the terms and conditions set forth in this APA. </w:t>
      </w:r>
    </w:p>
    <w:p w:rsidR="002A6A8D" w:rsidP="002A6A8D" w:rsidRDefault="002A6A8D" w14:paraId="5FC89D5F" w14:textId="77777777">
      <w:pPr>
        <w:pStyle w:val="zGTC02"/>
      </w:pPr>
      <w:bookmarkStart w:name="_Toc165846823" w:id="373"/>
      <w:bookmarkStart w:name="_Toc181639465" w:id="374"/>
      <w:bookmarkStart w:name="_Toc214644785" w:id="375"/>
      <w:r>
        <w:t>Employment Matters.</w:t>
      </w:r>
      <w:bookmarkEnd w:id="373"/>
      <w:bookmarkEnd w:id="374"/>
      <w:bookmarkEnd w:id="375"/>
      <w:r>
        <w:t xml:space="preserve"> </w:t>
      </w:r>
    </w:p>
    <w:p w:rsidRPr="00AB38D8" w:rsidR="002A6A8D" w:rsidP="002A6A8D" w:rsidRDefault="002A6A8D" w14:paraId="2E4A2F3D" w14:textId="77777777">
      <w:pPr>
        <w:pStyle w:val="zGTC03"/>
        <w:rPr>
          <w:color w:val="000000" w:themeColor="text1"/>
        </w:rPr>
      </w:pPr>
      <w:r>
        <w:rPr>
          <w:b/>
          <w:bCs/>
        </w:rPr>
        <w:t xml:space="preserve">Employee Screenings. </w:t>
      </w:r>
      <w:r>
        <w:t xml:space="preserve">Promptly following the expiration or termination of the applicable waiting period under the HSR Act, Seller and GPC will hold an initial meeting with all employees of the facility </w:t>
      </w:r>
      <w:proofErr w:type="gramStart"/>
      <w:r>
        <w:t>in order for</w:t>
      </w:r>
      <w:proofErr w:type="gramEnd"/>
      <w:r>
        <w:t xml:space="preserve"> GPC and Seller to make a general presentation regarding the hiring and transition process and schedule for the anticipated transition of the employees to GPC regarding the closing. Additionally, GPC and Seller will coordinate to schedule a meeting with all Facility employees on or about the 75th day before the expected Closing Date (the expected Closing Date to be determined by Seller and GPC in good faith) for GPC to make a presentation regarding employment opportunities with GPC at the Facility, including a discussion of compensation, benefits, and employment positions. At the meeting, GPC will deliver forms of authorization and consent through which an employee may authorize GPC to conduct pre-employment evaluations, including a background check and a drug screen, of the employee for purposes of being considered for employment by GPC at the Facility. Each employee who desires to be considered for employment by GPC must execute and deliver the authorizations to Seller, who must in turn deliver the authorizations to GPC, in each case, within 15 days following the meeting. Following GPC’s receipt of the authorizations, GPC will conduct pre-employment evaluations and a job interview of each selected employee who delivers an authorization. Seller must cooperate in good faith with GPC to coordinate the job interview. During the 30 days before the Closing Date, GPC will in its sole discretion have the right (but will not have any obligation) to, directly or through an Affiliate or other third party (“</w:t>
      </w:r>
      <w:r>
        <w:rPr>
          <w:b/>
          <w:bCs/>
        </w:rPr>
        <w:t>GPC Employer</w:t>
      </w:r>
      <w:r>
        <w:t>”), offer employment to each such employee, which must be conditioned on Closing, the terms and conditions of which (including compensation, benefits, position, and seniority) must be at the sole discretion of the GPC Employer and may or may not be comparable to the terms and conditions of the employee’s employment with Seller. During the period, Seller must cooperate with GPC Employer regarding the employment efforts, including providing GPC Employer reasonable access to the employees to communicate and discuss the offers. During the Interim Period, Seller must not: (i) offer employment or transfer to any such employee other than at the Facility; or (ii) encourage any such employee not to accept any offer of employment by GPC Employer or otherwise interfere with GPC Employer’s rights under this Section 5.20 (</w:t>
      </w:r>
      <w:r>
        <w:rPr>
          <w:i/>
          <w:iCs/>
        </w:rPr>
        <w:t>Employment Matters</w:t>
      </w:r>
      <w:r>
        <w:t xml:space="preserve">). </w:t>
      </w:r>
    </w:p>
    <w:p w:rsidR="002A6A8D" w:rsidP="002A6A8D" w:rsidRDefault="002A6A8D" w14:paraId="6F02F5F3" w14:textId="77777777">
      <w:pPr>
        <w:pStyle w:val="zGTC03"/>
      </w:pPr>
      <w:r>
        <w:rPr>
          <w:b/>
          <w:bCs/>
        </w:rPr>
        <w:t xml:space="preserve">Liability Regarding Seller Employees. </w:t>
      </w:r>
      <w:r>
        <w:rPr>
          <w:b/>
          <w:bCs/>
          <w:u w:val="single"/>
        </w:rPr>
        <w:t>Except for any liability or obligation arising out of any violation by GPC, any other GPC Employer or any Representative thereof of any law (including regarding employment discrimination, ERISA, and plant closings and layoffs) or any collective bargaining agreement, for which Seller will not be liable or responsible, Seller will be responsible for, and none of GPC, GPC Employer, or any of their Affiliates will have any liability or obligation whatsoever for, any compensation, benefits, severance, or any other amounts payable to or damages claimed by any Seller employee (including claims regarding levels of benefits, compensation, seniority, or otherwise): (i) for any period relating to the employee’s service with Seller or other relevant employer at any time before the Closing Date; (ii) who is not offered or does not accept an offer of employment with GPC Employer; or (iii) regarding any employee’s termination of employment with Seller or other relevant employer, and Seller must indemnify and hold harmless, release and defend GPC, GPC Employer, and their Affiliates from and against any liability or obligation, and costs and expenses (including reasonable attorneys’ fees and expenses) related to subsections (i), (ii), or (iii) of this Section 5.20.2 (</w:t>
      </w:r>
      <w:r>
        <w:rPr>
          <w:b/>
          <w:bCs/>
          <w:i/>
          <w:iCs/>
          <w:u w:val="single"/>
        </w:rPr>
        <w:t>Liability Regarding Seller Employees</w:t>
      </w:r>
      <w:r>
        <w:rPr>
          <w:b/>
          <w:bCs/>
          <w:u w:val="single"/>
        </w:rPr>
        <w:t>).</w:t>
      </w:r>
    </w:p>
    <w:p w:rsidRPr="00AB38D8" w:rsidR="003478DD" w:rsidP="00B71D5E" w:rsidRDefault="002A6A8D" w14:paraId="5FA24D5B" w14:textId="18163753">
      <w:pPr>
        <w:pStyle w:val="zGTC03"/>
      </w:pPr>
      <w:r>
        <w:rPr>
          <w:b/>
          <w:bCs/>
        </w:rPr>
        <w:t>Non-Solicitation.</w:t>
      </w:r>
      <w:r>
        <w:t xml:space="preserve">  For a period of 12 months following the Closing Date (“</w:t>
      </w:r>
      <w:r>
        <w:rPr>
          <w:b/>
          <w:bCs/>
        </w:rPr>
        <w:t>Restricted Period</w:t>
      </w:r>
      <w:r>
        <w:t>”), Seller must not, and must cause their Affiliates not to, directly or indirectly, hire or solicit any Person who is offered and accepts employment with a GPC Employer in accordance with Section 5.20.1 (</w:t>
      </w:r>
      <w:r>
        <w:rPr>
          <w:i/>
          <w:iCs/>
        </w:rPr>
        <w:t>Employee Screenings</w:t>
      </w:r>
      <w:r>
        <w:t>)</w:t>
      </w:r>
      <w:r>
        <w:rPr>
          <w:i/>
          <w:iCs/>
        </w:rPr>
        <w:t xml:space="preserve"> </w:t>
      </w:r>
      <w:r>
        <w:t>or is or was employed at the Facility during the Restricted Period (each, a “</w:t>
      </w:r>
      <w:r>
        <w:rPr>
          <w:b/>
          <w:bCs/>
        </w:rPr>
        <w:t xml:space="preserve">Restricted </w:t>
      </w:r>
      <w:r>
        <w:rPr>
          <w:b/>
          <w:bCs/>
        </w:rPr>
        <w:lastRenderedPageBreak/>
        <w:t>Employee</w:t>
      </w:r>
      <w:r>
        <w:t>”), or encourage any Restricted Employee to leave or hire any Restricted Employee who has left the employment, except: (i) in accordance with a general solicitation that is not directed specifically to any Restricted Employees; (ii) any Restricted Employee whose employment has been terminated by GPC Employer; or (iii) after 180 days from the date of termination of employment, any Restricted Employee whose employment has been terminated by the Restricted Employee (provided that the preceding time limitation must not apply to any Restricted Employee who has responded to a general solicitation for employment that is not directed specifically to the Restricted Employee). Seller acknowledges that a breach or threatened breach of this Section 5.20.3 (</w:t>
      </w:r>
      <w:r>
        <w:rPr>
          <w:i/>
          <w:iCs/>
        </w:rPr>
        <w:t>Non-Solicitation</w:t>
      </w:r>
      <w:r>
        <w:t xml:space="preserve">) would give rise to irreparable harm to GPC, for which monetary damages would not be an adequate remedy, and accordingly agrees that if there is a breach or a threatened breach by Seller of any such obligations, GPC will, in addition to any other right and remedy that may be available to it regarding the breach, be entitled to equitable relief, including a temporary restraining order, an injunction, specific performance, and any other relief that may be available from a court of competent jurisdiction (without any requirement to post bond). Seller acknowledges that the restrictions contained in </w:t>
      </w:r>
      <w:proofErr w:type="gramStart"/>
      <w:r>
        <w:t>this Section</w:t>
      </w:r>
      <w:proofErr w:type="gramEnd"/>
      <w:r>
        <w:t xml:space="preserve"> 5.20.3 are reasonable and necessary to protect GPC’s legitimate interests and constitute a material inducement to GPC to </w:t>
      </w:r>
      <w:proofErr w:type="gramStart"/>
      <w:r>
        <w:t>enter into</w:t>
      </w:r>
      <w:proofErr w:type="gramEnd"/>
      <w:r>
        <w:t xml:space="preserve"> this APA and consummate the transactions contemplated by this APA. </w:t>
      </w:r>
    </w:p>
    <w:p w:rsidRPr="00AB38D8" w:rsidR="0029492C" w:rsidP="00B71D5E" w:rsidRDefault="0029492C" w14:paraId="707E936B" w14:textId="77777777">
      <w:pPr>
        <w:pStyle w:val="zGTC01"/>
        <w:spacing w:before="120"/>
        <w:rPr>
          <w:rFonts w:ascii="Arial" w:hAnsi="Arial"/>
        </w:rPr>
      </w:pPr>
      <w:bookmarkStart w:name="_Toc143607252" w:id="376"/>
      <w:bookmarkStart w:name="_Toc143607305" w:id="377"/>
      <w:bookmarkStart w:name="_Toc181639466" w:id="378"/>
      <w:bookmarkStart w:name="_Toc214644786" w:id="379"/>
      <w:r>
        <w:rPr>
          <w:rFonts w:ascii="Arial" w:hAnsi="Arial"/>
        </w:rPr>
        <w:t>Conditions Precedent</w:t>
      </w:r>
      <w:bookmarkEnd w:id="359"/>
      <w:bookmarkEnd w:id="376"/>
      <w:bookmarkEnd w:id="377"/>
      <w:bookmarkEnd w:id="378"/>
      <w:bookmarkEnd w:id="379"/>
    </w:p>
    <w:p w:rsidRPr="00AB38D8" w:rsidR="0029492C" w:rsidP="00B71D5E" w:rsidRDefault="0029492C" w14:paraId="42EA5746" w14:textId="77777777">
      <w:pPr>
        <w:pStyle w:val="zGTC02"/>
        <w:rPr>
          <w:rFonts w:ascii="Arial" w:hAnsi="Arial" w:cs="Arial"/>
          <w:vanish/>
          <w:specVanish/>
        </w:rPr>
      </w:pPr>
      <w:bookmarkStart w:name="_Toc138350404" w:id="380"/>
      <w:bookmarkStart w:name="_Toc143607253" w:id="381"/>
      <w:bookmarkStart w:name="_Toc181639467" w:id="382"/>
      <w:bookmarkStart w:name="_Toc214644787" w:id="383"/>
      <w:r>
        <w:rPr>
          <w:rFonts w:ascii="Arial" w:hAnsi="Arial" w:cs="Arial"/>
        </w:rPr>
        <w:t>Conditions to Obligations of Each Party.</w:t>
      </w:r>
      <w:bookmarkEnd w:id="380"/>
      <w:bookmarkEnd w:id="381"/>
      <w:bookmarkEnd w:id="382"/>
      <w:bookmarkEnd w:id="383"/>
    </w:p>
    <w:p w:rsidRPr="00AB38D8" w:rsidR="0029492C" w:rsidP="00B71D5E" w:rsidRDefault="0029492C" w14:paraId="3322E562" w14:textId="39E4892A">
      <w:pPr>
        <w:pStyle w:val="zGNormal"/>
        <w:spacing w:after="120"/>
      </w:pPr>
      <w:r>
        <w:t xml:space="preserve"> The respective obligations of each Party to this APA to consummate the transactions contemplated by this APA are subject to the satisfaction (or waiver by the applicable Party) of each of the following conditions at or </w:t>
      </w:r>
      <w:r w:rsidR="0090318B">
        <w:t>before</w:t>
      </w:r>
      <w:r>
        <w:t xml:space="preserve"> the Closing:</w:t>
      </w:r>
    </w:p>
    <w:p w:rsidRPr="00B71D5E" w:rsidR="0029492C" w:rsidP="00B71D5E" w:rsidRDefault="0029492C" w14:paraId="5CC6A8FB" w14:textId="33A5008C">
      <w:pPr>
        <w:pStyle w:val="zGTC03"/>
        <w:rPr>
          <w:rFonts w:cs="Arial"/>
        </w:rPr>
      </w:pPr>
      <w:r>
        <w:rPr>
          <w:rFonts w:cs="Arial"/>
          <w:highlight w:val="yellow"/>
        </w:rPr>
        <w:t>[</w:t>
      </w:r>
      <w:r w:rsidRPr="0066571E" w:rsidR="0066571E">
        <w:rPr>
          <w:rFonts w:cs="Arial"/>
          <w:b/>
          <w:bCs/>
          <w:highlight w:val="yellow"/>
        </w:rPr>
        <w:t xml:space="preserve">Required </w:t>
      </w:r>
      <w:r w:rsidRPr="0066571E">
        <w:rPr>
          <w:rFonts w:cs="Arial"/>
          <w:b/>
          <w:bCs/>
          <w:highlight w:val="yellow"/>
        </w:rPr>
        <w:t>Consents</w:t>
      </w:r>
      <w:r>
        <w:rPr>
          <w:rFonts w:cs="Arial"/>
          <w:highlight w:val="yellow"/>
        </w:rPr>
        <w:t xml:space="preserve">. All </w:t>
      </w:r>
      <w:r w:rsidR="005F4AA3">
        <w:rPr>
          <w:rFonts w:cs="Arial"/>
          <w:highlight w:val="yellow"/>
        </w:rPr>
        <w:t>c</w:t>
      </w:r>
      <w:r>
        <w:rPr>
          <w:rFonts w:cs="Arial"/>
          <w:highlight w:val="yellow"/>
        </w:rPr>
        <w:t xml:space="preserve">onsents listed on </w:t>
      </w:r>
      <w:r w:rsidR="005A75B1">
        <w:rPr>
          <w:rFonts w:cs="Arial"/>
          <w:highlight w:val="yellow"/>
        </w:rPr>
        <w:t>Schedule</w:t>
      </w:r>
      <w:r>
        <w:rPr>
          <w:rFonts w:cs="Arial"/>
          <w:highlight w:val="yellow"/>
        </w:rPr>
        <w:t xml:space="preserve"> 6.1.1 (</w:t>
      </w:r>
      <w:r w:rsidRPr="0066571E" w:rsidR="0066571E">
        <w:rPr>
          <w:rFonts w:cs="Arial"/>
          <w:i/>
          <w:iCs/>
          <w:highlight w:val="yellow"/>
        </w:rPr>
        <w:t xml:space="preserve">Required </w:t>
      </w:r>
      <w:r w:rsidRPr="0066571E">
        <w:rPr>
          <w:rFonts w:cs="Arial"/>
          <w:i/>
          <w:iCs/>
          <w:highlight w:val="yellow"/>
        </w:rPr>
        <w:t>Consents</w:t>
      </w:r>
      <w:r>
        <w:rPr>
          <w:rFonts w:cs="Arial"/>
          <w:highlight w:val="yellow"/>
        </w:rPr>
        <w:t>) have been obtained and are in full force and effect</w:t>
      </w:r>
      <w:r w:rsidR="00C22356">
        <w:rPr>
          <w:rFonts w:cs="Arial"/>
          <w:highlight w:val="yellow"/>
        </w:rPr>
        <w:t>.</w:t>
      </w:r>
      <w:r>
        <w:rPr>
          <w:rFonts w:cs="Arial"/>
          <w:highlight w:val="yellow"/>
        </w:rPr>
        <w:t>]</w:t>
      </w:r>
      <w:r>
        <w:rPr>
          <w:rFonts w:cs="Arial"/>
          <w:b/>
          <w:bCs/>
          <w:szCs w:val="20"/>
          <w:highlight w:val="cyan"/>
        </w:rPr>
        <w:t>[</w:t>
      </w:r>
      <w:r>
        <w:rPr>
          <w:rFonts w:cs="Arial"/>
          <w:b/>
          <w:bCs/>
          <w:i/>
          <w:iCs/>
          <w:szCs w:val="20"/>
          <w:highlight w:val="cyan"/>
          <w:u w:val="single"/>
        </w:rPr>
        <w:t>Note to Bidders</w:t>
      </w:r>
      <w:r>
        <w:rPr>
          <w:rFonts w:cs="Arial"/>
          <w:b/>
          <w:bCs/>
          <w:i/>
          <w:iCs/>
          <w:szCs w:val="20"/>
          <w:highlight w:val="cyan"/>
        </w:rPr>
        <w:t>: Placeholder for any required third-party Consents.</w:t>
      </w:r>
      <w:r>
        <w:rPr>
          <w:rFonts w:cs="Arial"/>
          <w:b/>
          <w:bCs/>
          <w:szCs w:val="20"/>
          <w:highlight w:val="cyan"/>
        </w:rPr>
        <w:t>]</w:t>
      </w:r>
    </w:p>
    <w:p w:rsidRPr="00B71D5E" w:rsidR="0029492C" w:rsidP="00B71D5E" w:rsidRDefault="0029492C" w14:paraId="4C4D90DB" w14:textId="77777777">
      <w:pPr>
        <w:pStyle w:val="zGTC03"/>
        <w:rPr>
          <w:rFonts w:cs="Arial"/>
        </w:rPr>
      </w:pPr>
      <w:r>
        <w:rPr>
          <w:rFonts w:cs="Arial"/>
          <w:b/>
          <w:bCs/>
          <w:szCs w:val="20"/>
        </w:rPr>
        <w:t>No Injunction</w:t>
      </w:r>
      <w:r>
        <w:rPr>
          <w:rFonts w:cs="Arial"/>
          <w:szCs w:val="20"/>
        </w:rPr>
        <w:t xml:space="preserve">. There exists no </w:t>
      </w:r>
      <w:r>
        <w:t>law</w:t>
      </w:r>
      <w:r>
        <w:rPr>
          <w:rFonts w:cs="Arial"/>
          <w:szCs w:val="20"/>
        </w:rPr>
        <w:t xml:space="preserve">, Order, or Permit that restrains, enjoins, or otherwise prohibits or makes </w:t>
      </w:r>
      <w:proofErr w:type="gramStart"/>
      <w:r>
        <w:rPr>
          <w:rFonts w:cs="Arial"/>
          <w:szCs w:val="20"/>
        </w:rPr>
        <w:t>illegal the consummation of the transactions contemplated by this APA</w:t>
      </w:r>
      <w:proofErr w:type="gramEnd"/>
      <w:r>
        <w:rPr>
          <w:rFonts w:cs="Arial"/>
          <w:szCs w:val="20"/>
        </w:rPr>
        <w:t xml:space="preserve">, and there is no pending action or proceeding initiated by any Governmental </w:t>
      </w:r>
      <w:r>
        <w:rPr>
          <w:rFonts w:cs="Arial"/>
        </w:rPr>
        <w:t>Authority</w:t>
      </w:r>
      <w:r>
        <w:rPr>
          <w:rFonts w:cs="Arial"/>
          <w:szCs w:val="20"/>
        </w:rPr>
        <w:t xml:space="preserve"> seeking an Order prohibiting the consummation of the transactions contemplated by this APA.</w:t>
      </w:r>
    </w:p>
    <w:p w:rsidR="0029492C" w:rsidP="00B71D5E" w:rsidRDefault="003E57E8" w14:paraId="56BAFC12" w14:textId="77777777">
      <w:pPr>
        <w:pStyle w:val="zGTC03"/>
        <w:rPr>
          <w:rFonts w:cs="Arial"/>
        </w:rPr>
      </w:pPr>
      <w:bookmarkStart w:name="_Hlk140657750" w:id="384"/>
      <w:r>
        <w:rPr>
          <w:rFonts w:cs="Arial"/>
          <w:b/>
          <w:bCs/>
        </w:rPr>
        <w:t>Government Approvals; Consents.</w:t>
      </w:r>
      <w:r>
        <w:rPr>
          <w:rStyle w:val="CommentReference"/>
          <w:rFonts w:ascii="Times New Roman" w:hAnsi="Times New Roman" w:eastAsia="Calibri"/>
          <w:kern w:val="0"/>
        </w:rPr>
        <w:t xml:space="preserve"> </w:t>
      </w:r>
    </w:p>
    <w:p w:rsidRPr="00AB38D8" w:rsidR="00C712F2" w:rsidP="00C712F2" w:rsidRDefault="00C712F2" w14:paraId="5E652890" w14:textId="4E4B9DDD">
      <w:pPr>
        <w:pStyle w:val="zGTC04"/>
        <w:rPr>
          <w:rFonts w:cs="Arial"/>
          <w:szCs w:val="20"/>
        </w:rPr>
      </w:pPr>
      <w:bookmarkStart w:name="_Ref12543386" w:id="385"/>
      <w:r>
        <w:rPr>
          <w:rFonts w:cs="Arial"/>
          <w:b/>
          <w:bCs/>
          <w:szCs w:val="20"/>
        </w:rPr>
        <w:t xml:space="preserve">Interim Period Obligations. </w:t>
      </w:r>
      <w:r>
        <w:rPr>
          <w:rFonts w:cs="Arial"/>
          <w:szCs w:val="20"/>
        </w:rPr>
        <w:t>During the Interim Period, Seller must: (a) use commercially reasonable efforts to obtain and maintain in effect all consents, approvals, ratifications, waivers, notices, or other authorizations given by or to any Person that is not a Governmental Authority</w:t>
      </w:r>
      <w:r w:rsidR="000D14B1">
        <w:rPr>
          <w:rFonts w:cs="Arial"/>
          <w:szCs w:val="20"/>
        </w:rPr>
        <w:t xml:space="preserve">, </w:t>
      </w:r>
      <w:r w:rsidR="003E0AD1">
        <w:rPr>
          <w:rFonts w:cs="Arial"/>
          <w:szCs w:val="20"/>
        </w:rPr>
        <w:t>and</w:t>
      </w:r>
      <w:r w:rsidR="00F36FE5">
        <w:rPr>
          <w:rFonts w:cs="Arial"/>
          <w:snapToGrid w:val="0"/>
          <w:szCs w:val="20"/>
        </w:rPr>
        <w:t xml:space="preserve"> </w:t>
      </w:r>
      <w:r>
        <w:rPr>
          <w:rFonts w:cs="Arial"/>
          <w:snapToGrid w:val="0"/>
          <w:szCs w:val="20"/>
        </w:rPr>
        <w:t>obtain all Consents</w:t>
      </w:r>
      <w:r w:rsidR="00F01F17">
        <w:rPr>
          <w:rFonts w:cs="Arial"/>
          <w:snapToGrid w:val="0"/>
          <w:szCs w:val="20"/>
        </w:rPr>
        <w:t xml:space="preserve">, </w:t>
      </w:r>
      <w:r>
        <w:rPr>
          <w:rFonts w:cs="Arial"/>
          <w:snapToGrid w:val="0"/>
          <w:szCs w:val="20"/>
        </w:rPr>
        <w:t>make all filings with, and give all notices to, all</w:t>
      </w:r>
      <w:r>
        <w:rPr>
          <w:rFonts w:cs="Arial"/>
          <w:szCs w:val="20"/>
        </w:rPr>
        <w:t xml:space="preserve"> Governmental Authorities (including regarding all Required Regulatory Approvals) and any other Person, in each case that may be or become necessary for Seller to execute and deliver this APA or perform its obligations under this APA</w:t>
      </w:r>
      <w:r w:rsidR="003E0AD1">
        <w:rPr>
          <w:rFonts w:cs="Arial"/>
          <w:szCs w:val="20"/>
        </w:rPr>
        <w:t>;</w:t>
      </w:r>
      <w:r>
        <w:rPr>
          <w:rFonts w:cs="Arial"/>
          <w:szCs w:val="20"/>
        </w:rPr>
        <w:t xml:space="preserve"> </w:t>
      </w:r>
      <w:bookmarkStart w:name="_Ref269888343" w:id="386"/>
      <w:r>
        <w:rPr>
          <w:rFonts w:cs="Arial"/>
          <w:szCs w:val="20"/>
        </w:rPr>
        <w:t>and (</w:t>
      </w:r>
      <w:r w:rsidR="003E0AD1">
        <w:rPr>
          <w:rFonts w:cs="Arial"/>
          <w:szCs w:val="20"/>
        </w:rPr>
        <w:t>b</w:t>
      </w:r>
      <w:r>
        <w:rPr>
          <w:rFonts w:cs="Arial"/>
          <w:szCs w:val="20"/>
        </w:rPr>
        <w:t xml:space="preserve">) cooperate with GPC in seeking to obtain all the </w:t>
      </w:r>
      <w:r w:rsidR="005414E8">
        <w:rPr>
          <w:rFonts w:cs="Arial"/>
          <w:szCs w:val="20"/>
        </w:rPr>
        <w:t>c</w:t>
      </w:r>
      <w:r>
        <w:rPr>
          <w:rFonts w:cs="Arial"/>
          <w:szCs w:val="20"/>
        </w:rPr>
        <w:t xml:space="preserve">onsents and approvals, </w:t>
      </w:r>
      <w:r w:rsidR="008D0F7C">
        <w:rPr>
          <w:rFonts w:cs="Arial"/>
          <w:szCs w:val="20"/>
        </w:rPr>
        <w:t>provide</w:t>
      </w:r>
      <w:r>
        <w:rPr>
          <w:rFonts w:cs="Arial"/>
          <w:szCs w:val="20"/>
        </w:rPr>
        <w:t xml:space="preserve"> the notices</w:t>
      </w:r>
      <w:r w:rsidR="001E39C9">
        <w:rPr>
          <w:rFonts w:cs="Arial"/>
          <w:szCs w:val="20"/>
        </w:rPr>
        <w:t>,</w:t>
      </w:r>
      <w:r>
        <w:rPr>
          <w:rFonts w:cs="Arial"/>
          <w:szCs w:val="20"/>
        </w:rPr>
        <w:t xml:space="preserve"> and </w:t>
      </w:r>
      <w:r w:rsidR="001E39C9">
        <w:rPr>
          <w:rFonts w:cs="Arial"/>
          <w:szCs w:val="20"/>
        </w:rPr>
        <w:t>make</w:t>
      </w:r>
      <w:r>
        <w:rPr>
          <w:rFonts w:cs="Arial"/>
          <w:szCs w:val="20"/>
        </w:rPr>
        <w:t xml:space="preserve"> the filings, all in accordance with the provisions of this Section 6.1.3 (</w:t>
      </w:r>
      <w:r>
        <w:rPr>
          <w:rFonts w:cs="Arial"/>
          <w:i/>
          <w:iCs/>
          <w:szCs w:val="20"/>
        </w:rPr>
        <w:t>Government Approvals; Consents</w:t>
      </w:r>
      <w:r>
        <w:rPr>
          <w:rFonts w:cs="Arial"/>
          <w:szCs w:val="20"/>
        </w:rPr>
        <w:t>).</w:t>
      </w:r>
      <w:bookmarkEnd w:id="386"/>
      <w:r>
        <w:rPr>
          <w:rFonts w:cs="Arial"/>
          <w:szCs w:val="20"/>
        </w:rPr>
        <w:t xml:space="preserve">  </w:t>
      </w:r>
    </w:p>
    <w:p w:rsidRPr="00AB38D8" w:rsidR="00C712F2" w:rsidP="00C712F2" w:rsidRDefault="00C712F2" w14:paraId="69D1F6F9" w14:textId="6E5A2228">
      <w:pPr>
        <w:pStyle w:val="zGTC04"/>
        <w:numPr>
          <w:ilvl w:val="0"/>
          <w:numId w:val="0"/>
        </w:numPr>
        <w:ind w:left="1440"/>
        <w:rPr>
          <w:rFonts w:cs="Arial"/>
          <w:szCs w:val="20"/>
        </w:rPr>
      </w:pPr>
      <w:r>
        <w:rPr>
          <w:rFonts w:cs="Arial"/>
          <w:szCs w:val="20"/>
        </w:rPr>
        <w:t>During the Interim Period, GPC will: (I) use commercially reasonable efforts to obtain and maintain in full effect all consents, approvals, ratifications, waivers, notices, or other authorizations given by or to any Person</w:t>
      </w:r>
      <w:r w:rsidR="00F01F17">
        <w:rPr>
          <w:rFonts w:cs="Arial"/>
          <w:szCs w:val="20"/>
        </w:rPr>
        <w:t xml:space="preserve"> </w:t>
      </w:r>
      <w:r>
        <w:rPr>
          <w:rFonts w:cs="Arial"/>
          <w:szCs w:val="20"/>
        </w:rPr>
        <w:t xml:space="preserve">that is not a Governmental Authority, </w:t>
      </w:r>
      <w:r w:rsidR="00F01F17">
        <w:rPr>
          <w:rFonts w:cs="Arial"/>
          <w:szCs w:val="20"/>
        </w:rPr>
        <w:t xml:space="preserve">and </w:t>
      </w:r>
      <w:r>
        <w:rPr>
          <w:rFonts w:cs="Arial"/>
          <w:snapToGrid w:val="0"/>
          <w:szCs w:val="20"/>
        </w:rPr>
        <w:t xml:space="preserve">obtain all </w:t>
      </w:r>
      <w:r w:rsidR="005414E8">
        <w:rPr>
          <w:rFonts w:cs="Arial"/>
          <w:snapToGrid w:val="0"/>
          <w:szCs w:val="20"/>
        </w:rPr>
        <w:t>C</w:t>
      </w:r>
      <w:r>
        <w:rPr>
          <w:rFonts w:cs="Arial"/>
          <w:snapToGrid w:val="0"/>
          <w:szCs w:val="20"/>
        </w:rPr>
        <w:t xml:space="preserve">onsents, </w:t>
      </w:r>
      <w:r>
        <w:rPr>
          <w:rFonts w:cs="Arial"/>
          <w:szCs w:val="20"/>
        </w:rPr>
        <w:t>make all filings with, and give all notices to, all Governmental Authorities (including regarding all Required Regulatory Approvals) and any other Person</w:t>
      </w:r>
      <w:r w:rsidR="00C803D7">
        <w:rPr>
          <w:rFonts w:cs="Arial"/>
          <w:szCs w:val="20"/>
        </w:rPr>
        <w:t>, in each case</w:t>
      </w:r>
      <w:r>
        <w:rPr>
          <w:rFonts w:cs="Arial"/>
          <w:szCs w:val="20"/>
        </w:rPr>
        <w:t xml:space="preserve"> that may be or become necessary for GPC to execute and deliver this APA or perform its obligations under this APA; and (II) cooperate with Seller in seeking to obtain all the Consents and approvals</w:t>
      </w:r>
      <w:r w:rsidR="001E39C9">
        <w:rPr>
          <w:rFonts w:cs="Arial"/>
          <w:szCs w:val="20"/>
        </w:rPr>
        <w:t xml:space="preserve">, </w:t>
      </w:r>
      <w:r>
        <w:rPr>
          <w:rFonts w:cs="Arial"/>
          <w:szCs w:val="20"/>
        </w:rPr>
        <w:t>provide the notices</w:t>
      </w:r>
      <w:r w:rsidR="001E39C9">
        <w:rPr>
          <w:rFonts w:cs="Arial"/>
          <w:szCs w:val="20"/>
        </w:rPr>
        <w:t>,</w:t>
      </w:r>
      <w:r>
        <w:rPr>
          <w:rFonts w:cs="Arial"/>
          <w:szCs w:val="20"/>
        </w:rPr>
        <w:t xml:space="preserve"> and </w:t>
      </w:r>
      <w:r w:rsidR="001E39C9">
        <w:rPr>
          <w:rFonts w:cs="Arial"/>
          <w:szCs w:val="20"/>
        </w:rPr>
        <w:t>make</w:t>
      </w:r>
      <w:r>
        <w:rPr>
          <w:rFonts w:cs="Arial"/>
          <w:szCs w:val="20"/>
        </w:rPr>
        <w:t xml:space="preserve"> the filings, all in accordance with the provisions of this Section 6.1.3.</w:t>
      </w:r>
      <w:bookmarkEnd w:id="385"/>
    </w:p>
    <w:p w:rsidRPr="00AB38D8" w:rsidR="00C712F2" w:rsidP="00C712F2" w:rsidRDefault="00C712F2" w14:paraId="36FCA66B" w14:textId="7A331F9F">
      <w:pPr>
        <w:pStyle w:val="zGTC04"/>
        <w:rPr>
          <w:rFonts w:eastAsia="Calibri" w:cs="Arial"/>
          <w:szCs w:val="20"/>
        </w:rPr>
      </w:pPr>
      <w:r>
        <w:rPr>
          <w:rFonts w:cs="Arial"/>
          <w:b/>
          <w:bCs/>
          <w:szCs w:val="20"/>
        </w:rPr>
        <w:t xml:space="preserve">Obligations of the Parties. </w:t>
      </w:r>
      <w:r>
        <w:rPr>
          <w:rFonts w:cs="Arial"/>
          <w:szCs w:val="20"/>
        </w:rPr>
        <w:t>Without limiting the generality of the undertakings under Section 6.1.3(i) (</w:t>
      </w:r>
      <w:r>
        <w:rPr>
          <w:rFonts w:cs="Arial"/>
          <w:i/>
          <w:iCs/>
          <w:szCs w:val="20"/>
        </w:rPr>
        <w:t>Interim Period Obligations</w:t>
      </w:r>
      <w:r>
        <w:rPr>
          <w:rFonts w:cs="Arial"/>
          <w:szCs w:val="20"/>
        </w:rPr>
        <w:t>), and subject to the limitations set forth in this Section 6.1.3 (</w:t>
      </w:r>
      <w:r>
        <w:rPr>
          <w:rFonts w:cs="Arial"/>
          <w:i/>
          <w:iCs/>
          <w:szCs w:val="20"/>
        </w:rPr>
        <w:t>Government Approvals; Consents</w:t>
      </w:r>
      <w:r>
        <w:rPr>
          <w:rFonts w:cs="Arial"/>
          <w:szCs w:val="20"/>
        </w:rPr>
        <w:t xml:space="preserve">), each Party must, and must cause its respective Affiliates to: (a) use all commercially reasonable efforts to: (I) gather and obtain all necessary information to complete the filings, which will be prepared and filed by Seller, GPC, or any ultimate parent entity of GPC or Seller, as required, seeking the Required Regulatory Approvals (including all reports, studies, and exhibits related to the Required Regulatory Approvals); and (II) consult with each other regarding any filings and consider all reasonable comments (if any) submitted by the other Party or its Representatives; and (b) before and during the pendency of any notice and approval or waiting period concerning the filings: (I) consult with the other Party before providing </w:t>
      </w:r>
      <w:r>
        <w:rPr>
          <w:rFonts w:cs="Arial"/>
          <w:szCs w:val="20"/>
        </w:rPr>
        <w:lastRenderedPageBreak/>
        <w:t>any supplemental information to the applicable Governmental Authority and provide prompt notice to the other Party of all Orders and actions from the Commission and all material communications from other Governmental Authorities, and, except regarding the Commission and except as otherwise directed by the applicable Governmental Authority, permit the other Parties, at their election, to participate in any substantive discussions or meetings with, the applicable Governmental Authority that reasonably relate to or bear upon the filings; and (II) use commercially reasonable efforts to expedite and obtain the Required Regulatory Approvals without material modification by the relevant Governmental Authority.</w:t>
      </w:r>
    </w:p>
    <w:p w:rsidRPr="00AB38D8" w:rsidR="00C712F2" w:rsidP="00C712F2" w:rsidRDefault="00C712F2" w14:paraId="1589294C" w14:textId="77777777">
      <w:pPr>
        <w:pStyle w:val="zGTC04"/>
        <w:rPr>
          <w:rFonts w:eastAsia="Calibri" w:cs="Arial"/>
          <w:szCs w:val="20"/>
        </w:rPr>
      </w:pPr>
      <w:r>
        <w:rPr>
          <w:rFonts w:eastAsia="Calibri" w:cs="Arial"/>
          <w:szCs w:val="20"/>
        </w:rPr>
        <w:t>Concerning the preceding:</w:t>
      </w:r>
    </w:p>
    <w:p w:rsidRPr="00AB38D8" w:rsidR="00C712F2" w:rsidP="00C712F2" w:rsidRDefault="00C712F2" w14:paraId="4A01F498" w14:textId="77777777">
      <w:pPr>
        <w:pStyle w:val="zGTC05"/>
        <w:rPr>
          <w:rFonts w:eastAsia="Calibri" w:cs="Arial"/>
          <w:szCs w:val="20"/>
        </w:rPr>
      </w:pPr>
      <w:r>
        <w:rPr>
          <w:rFonts w:cs="Arial"/>
          <w:szCs w:val="20"/>
        </w:rPr>
        <w:t xml:space="preserve">GPC will cause its ultimate parent entity to prepare, and Seller will cause its ultimate parent entity to prepare, a Notification and Report Form seeking the HSR Approval and in each case cause the Notification and Report Forms to be filed not later than </w:t>
      </w:r>
      <w:r>
        <w:rPr>
          <w:rFonts w:cs="Arial"/>
          <w:szCs w:val="20"/>
          <w:highlight w:val="yellow"/>
        </w:rPr>
        <w:t>#Number</w:t>
      </w:r>
      <w:r>
        <w:rPr>
          <w:rFonts w:cs="Arial"/>
          <w:szCs w:val="20"/>
        </w:rPr>
        <w:t xml:space="preserve"> days after the Effective </w:t>
      </w:r>
      <w:proofErr w:type="gramStart"/>
      <w:r>
        <w:rPr>
          <w:rFonts w:cs="Arial"/>
          <w:szCs w:val="20"/>
        </w:rPr>
        <w:t>Date;</w:t>
      </w:r>
      <w:proofErr w:type="gramEnd"/>
    </w:p>
    <w:p w:rsidRPr="00AB38D8" w:rsidR="00C712F2" w:rsidP="00C712F2" w:rsidRDefault="00C712F2" w14:paraId="48113699" w14:textId="77777777">
      <w:pPr>
        <w:pStyle w:val="zGTC05"/>
        <w:rPr>
          <w:rFonts w:eastAsia="Calibri" w:cs="Arial"/>
          <w:szCs w:val="20"/>
        </w:rPr>
      </w:pPr>
      <w:r>
        <w:rPr>
          <w:rFonts w:cs="Arial"/>
          <w:szCs w:val="20"/>
        </w:rPr>
        <w:t xml:space="preserve">Each Party will, or will cause its Affiliate(s) to, prepare the application for FERC Approval and file the application no later than </w:t>
      </w:r>
      <w:r>
        <w:rPr>
          <w:rFonts w:cs="Arial"/>
          <w:szCs w:val="20"/>
          <w:highlight w:val="yellow"/>
        </w:rPr>
        <w:t>#Number</w:t>
      </w:r>
      <w:r>
        <w:rPr>
          <w:rFonts w:cs="Arial"/>
          <w:szCs w:val="20"/>
        </w:rPr>
        <w:t xml:space="preserve"> days after the Effective Date. Each Party agrees that any application to, or filing with, FERC associated with the transactions contemplated this APA, including any amendments or supplements to this APA, will be subject to review and approval of the other Party, which approval will not be unreasonably withheld, delayed, or </w:t>
      </w:r>
      <w:proofErr w:type="gramStart"/>
      <w:r>
        <w:rPr>
          <w:rFonts w:cs="Arial"/>
          <w:szCs w:val="20"/>
        </w:rPr>
        <w:t>conditioned;</w:t>
      </w:r>
      <w:proofErr w:type="gramEnd"/>
    </w:p>
    <w:p w:rsidRPr="00AB38D8" w:rsidR="00C712F2" w:rsidP="00C712F2" w:rsidRDefault="00C712F2" w14:paraId="57685B14" w14:textId="77777777">
      <w:pPr>
        <w:pStyle w:val="zGTC05"/>
        <w:rPr>
          <w:rFonts w:eastAsia="Calibri" w:cs="Arial"/>
          <w:szCs w:val="20"/>
        </w:rPr>
      </w:pPr>
      <w:r>
        <w:rPr>
          <w:rFonts w:cs="Arial"/>
          <w:szCs w:val="20"/>
        </w:rPr>
        <w:t xml:space="preserve">Each Party will, or will cause its Affiliates to, prepare and file the Person’s application for FCC Approval not later than </w:t>
      </w:r>
      <w:r>
        <w:rPr>
          <w:rFonts w:cs="Arial"/>
          <w:szCs w:val="20"/>
          <w:highlight w:val="yellow"/>
        </w:rPr>
        <w:t>#Number</w:t>
      </w:r>
      <w:r>
        <w:rPr>
          <w:rFonts w:cs="Arial"/>
          <w:szCs w:val="20"/>
        </w:rPr>
        <w:t xml:space="preserve"> days after the Effective </w:t>
      </w:r>
      <w:proofErr w:type="gramStart"/>
      <w:r>
        <w:rPr>
          <w:rFonts w:cs="Arial"/>
          <w:szCs w:val="20"/>
        </w:rPr>
        <w:t>Date;</w:t>
      </w:r>
      <w:proofErr w:type="gramEnd"/>
    </w:p>
    <w:p w:rsidRPr="00AB38D8" w:rsidR="00C712F2" w:rsidP="00C712F2" w:rsidRDefault="00C712F2" w14:paraId="597B03C1" w14:textId="77777777">
      <w:pPr>
        <w:pStyle w:val="zGTC05"/>
        <w:rPr>
          <w:rFonts w:eastAsia="Calibri" w:cs="Arial"/>
          <w:szCs w:val="20"/>
        </w:rPr>
      </w:pPr>
      <w:r>
        <w:rPr>
          <w:rFonts w:cs="Arial"/>
          <w:szCs w:val="20"/>
        </w:rPr>
        <w:t>Seller and GPC, as applicable, will, in a timely manner, file the required forms and notices with the United States Environmental Protection Agency, the State Department of Environmental Management and other appropriate Governmental Authorities, if any, to provide notice of a change in the designated Representatives and authorized account Representatives, respectively, regarding GPC or Seller’s Emission Allowance compliance accounts for the Facility and Seller and GPC will reasonably cooperate regarding the filings;</w:t>
      </w:r>
    </w:p>
    <w:p w:rsidRPr="00AB38D8" w:rsidR="00C712F2" w:rsidP="00C712F2" w:rsidRDefault="00C712F2" w14:paraId="5F4BD5C2" w14:textId="77777777">
      <w:pPr>
        <w:pStyle w:val="zGTC05"/>
        <w:rPr>
          <w:rFonts w:eastAsia="Calibri" w:cs="Arial"/>
          <w:szCs w:val="20"/>
        </w:rPr>
      </w:pPr>
      <w:r>
        <w:rPr>
          <w:rFonts w:cs="Arial"/>
          <w:szCs w:val="20"/>
        </w:rPr>
        <w:t xml:space="preserve">GPC will prepare, file, and prosecute the Commission Certificate for Commission approval in accordance with the terms and subject to the conditions of this </w:t>
      </w:r>
      <w:proofErr w:type="gramStart"/>
      <w:r>
        <w:rPr>
          <w:rFonts w:cs="Arial"/>
          <w:szCs w:val="20"/>
        </w:rPr>
        <w:t>APA;</w:t>
      </w:r>
      <w:proofErr w:type="gramEnd"/>
    </w:p>
    <w:p w:rsidRPr="00AB38D8" w:rsidR="00C712F2" w:rsidP="00C712F2" w:rsidRDefault="00FF31F3" w14:paraId="7B545AB9" w14:textId="77777777">
      <w:pPr>
        <w:pStyle w:val="zGTC05"/>
        <w:rPr>
          <w:rFonts w:eastAsia="Calibri" w:cs="Arial"/>
          <w:szCs w:val="20"/>
        </w:rPr>
      </w:pPr>
      <w:r>
        <w:rPr>
          <w:rFonts w:cs="Arial"/>
          <w:szCs w:val="20"/>
        </w:rPr>
        <w:t>Seller will not, and will not cause or permit any of its Affiliates to: (a) extend any waiting period or withdraw its filings seeking the Required Regulatory Approvals referred to in this Section 6.1.3 (</w:t>
      </w:r>
      <w:r>
        <w:rPr>
          <w:rFonts w:cs="Arial"/>
          <w:i/>
          <w:iCs/>
          <w:szCs w:val="20"/>
        </w:rPr>
        <w:t>Government Approvals; Consents</w:t>
      </w:r>
      <w:r>
        <w:rPr>
          <w:rFonts w:cs="Arial"/>
          <w:szCs w:val="20"/>
        </w:rPr>
        <w:t>); or (b) enter into any agreement with any Governmental Authority agreeing not to consummate the transactions contemplated by this APA, in each case, without the prior written consent of the other Party, which consent may not be unreasonably withheld; and</w:t>
      </w:r>
    </w:p>
    <w:p w:rsidRPr="00AB38D8" w:rsidR="00C712F2" w:rsidP="00C712F2" w:rsidRDefault="00C712F2" w14:paraId="6E2976F2" w14:textId="165112D9">
      <w:pPr>
        <w:pStyle w:val="zGTC05"/>
        <w:rPr>
          <w:rFonts w:eastAsia="Calibri" w:cs="Arial"/>
          <w:szCs w:val="20"/>
        </w:rPr>
      </w:pPr>
      <w:bookmarkStart w:name="_Ref16857103" w:id="387"/>
      <w:r>
        <w:rPr>
          <w:rFonts w:cs="Arial"/>
          <w:szCs w:val="20"/>
        </w:rPr>
        <w:t>During the Interim Period, if GPC learns, or otherwise has reason to believe, that the Commission’s Certificate will not be obtained in the manner required by this APA, then GPC will provide Seller with reasonable notice regarding the status of the Commission’s approval.</w:t>
      </w:r>
      <w:bookmarkEnd w:id="387"/>
    </w:p>
    <w:p w:rsidRPr="00AB38D8" w:rsidR="00C712F2" w:rsidP="00C712F2" w:rsidRDefault="00C712F2" w14:paraId="47C518FA" w14:textId="7979482C">
      <w:pPr>
        <w:pStyle w:val="zGTC04"/>
        <w:rPr>
          <w:rFonts w:eastAsia="Calibri" w:cs="Arial"/>
          <w:szCs w:val="20"/>
        </w:rPr>
      </w:pPr>
      <w:r>
        <w:rPr>
          <w:rFonts w:cs="Arial"/>
          <w:b/>
          <w:bCs/>
          <w:szCs w:val="20"/>
        </w:rPr>
        <w:t xml:space="preserve">Designation of Competitively Sensitive Materials. </w:t>
      </w:r>
      <w:r>
        <w:rPr>
          <w:rFonts w:cs="Arial"/>
          <w:szCs w:val="20"/>
        </w:rPr>
        <w:t>Each Party may, as it deems advisable and necessary, designate any competitively sensitive materials provided to the other concerning the Parties’ obligations set forth in this Section 6.1.3 (</w:t>
      </w:r>
      <w:r>
        <w:rPr>
          <w:rFonts w:cs="Arial"/>
          <w:i/>
          <w:iCs/>
          <w:szCs w:val="20"/>
        </w:rPr>
        <w:t>Government Approvals; Consents</w:t>
      </w:r>
      <w:r>
        <w:rPr>
          <w:rFonts w:cs="Arial"/>
          <w:szCs w:val="20"/>
        </w:rPr>
        <w:t xml:space="preserve">) as “outside counsel only” and may redact from the “outside counsel only” material: (a) any competitively sensitive information that contains valuation information; or (b) that is unrelated to the transactions contemplated by this APA.  The material and information contained in the “outside counsel only” materials will be given only to outside counsel of the </w:t>
      </w:r>
      <w:proofErr w:type="gramStart"/>
      <w:r>
        <w:rPr>
          <w:rFonts w:cs="Arial"/>
          <w:szCs w:val="20"/>
        </w:rPr>
        <w:t>recipient</w:t>
      </w:r>
      <w:proofErr w:type="gramEnd"/>
      <w:r>
        <w:rPr>
          <w:rFonts w:cs="Arial"/>
          <w:szCs w:val="20"/>
        </w:rPr>
        <w:t xml:space="preserve"> and the outside counsel must not disclose the “outside counsel only” material to any other recipient Representatives without the advance written consent of the Party providing the materials. Additionally, if any of the competitively sensitive information will be presented or discussed at a meeting, the Party who is providing the information may request the other Party and its Affiliates and Representatives to leave the meeting while the information is being presented or discussed, and the other Party will, and will cause its Affiliates and Representatives, to do so.</w:t>
      </w:r>
    </w:p>
    <w:p w:rsidRPr="00AB38D8" w:rsidR="00C712F2" w:rsidP="00C712F2" w:rsidRDefault="00C712F2" w14:paraId="6F5BFA6C" w14:textId="77777777">
      <w:pPr>
        <w:pStyle w:val="zGTC04"/>
        <w:rPr>
          <w:rFonts w:eastAsia="Calibri" w:cs="Arial"/>
          <w:szCs w:val="20"/>
        </w:rPr>
      </w:pPr>
      <w:r>
        <w:rPr>
          <w:rFonts w:cs="Arial"/>
          <w:b/>
          <w:bCs/>
          <w:szCs w:val="20"/>
        </w:rPr>
        <w:t xml:space="preserve">Fee Responsibility. </w:t>
      </w:r>
      <w:r>
        <w:rPr>
          <w:rFonts w:cs="Arial"/>
          <w:szCs w:val="20"/>
        </w:rPr>
        <w:t xml:space="preserve">(a) GPC will be responsible for fees associated with obtaining HSR Approval and the Commission Certificate; and (b) GPC and Seller will be equally responsible for the fees associated with obtaining FERC Approval and FCC Approval, but: (I) each Party will bear its own costs and expenses (including legal fees) incurred in the preparation of the filings, and (II) </w:t>
      </w:r>
      <w:r>
        <w:rPr>
          <w:rFonts w:cs="Arial"/>
          <w:szCs w:val="20"/>
        </w:rPr>
        <w:lastRenderedPageBreak/>
        <w:t>Seller must pay the costs and expenses of a Seller Affiliate (including legal fees) incurred in the preparation of the filings.</w:t>
      </w:r>
    </w:p>
    <w:p w:rsidRPr="00AB38D8" w:rsidR="00C712F2" w:rsidP="00C712F2" w:rsidRDefault="008F518C" w14:paraId="36A2E5A4" w14:textId="77777777">
      <w:pPr>
        <w:pStyle w:val="zGTC04"/>
        <w:rPr>
          <w:rFonts w:eastAsia="Calibri" w:cs="Arial"/>
          <w:szCs w:val="20"/>
        </w:rPr>
      </w:pPr>
      <w:r>
        <w:rPr>
          <w:rFonts w:eastAsia="Calibri" w:cs="Arial"/>
          <w:b/>
          <w:bCs/>
          <w:szCs w:val="20"/>
        </w:rPr>
        <w:t xml:space="preserve">Burdensome Conditions. </w:t>
      </w:r>
      <w:r>
        <w:rPr>
          <w:rFonts w:eastAsia="Calibri" w:cs="Arial"/>
          <w:szCs w:val="20"/>
        </w:rPr>
        <w:t>Despite any other provision in this APA</w:t>
      </w:r>
      <w:r>
        <w:rPr>
          <w:rFonts w:cs="Arial"/>
          <w:szCs w:val="20"/>
        </w:rPr>
        <w:t>, nothing contained in this Section 6.1.3 (</w:t>
      </w:r>
      <w:r>
        <w:rPr>
          <w:rFonts w:cs="Arial"/>
          <w:i/>
          <w:szCs w:val="20"/>
        </w:rPr>
        <w:t>Government Approvals; Consents</w:t>
      </w:r>
      <w:r>
        <w:rPr>
          <w:rFonts w:cs="Arial"/>
          <w:szCs w:val="20"/>
        </w:rPr>
        <w:t>) will require GPC to take any action that is or would result in a Burdensome Condition.</w:t>
      </w:r>
    </w:p>
    <w:p w:rsidRPr="00AB38D8" w:rsidR="00617041" w:rsidP="00B71D5E" w:rsidRDefault="00617041" w14:paraId="22508757" w14:textId="77777777">
      <w:pPr>
        <w:pStyle w:val="zGTC03"/>
        <w:rPr>
          <w:rFonts w:cs="Arial"/>
        </w:rPr>
      </w:pPr>
      <w:r>
        <w:rPr>
          <w:rFonts w:cs="Arial"/>
          <w:b/>
          <w:bCs/>
          <w:szCs w:val="20"/>
        </w:rPr>
        <w:t>Regulatory Matters.</w:t>
      </w:r>
    </w:p>
    <w:p w:rsidRPr="00AB38D8" w:rsidR="00617041" w:rsidP="00B71D5E" w:rsidRDefault="0065231B" w14:paraId="0664E861" w14:textId="77777777">
      <w:pPr>
        <w:pStyle w:val="zGTC04"/>
        <w:rPr>
          <w:rFonts w:cs="Arial"/>
        </w:rPr>
      </w:pPr>
      <w:r>
        <w:rPr>
          <w:rFonts w:cs="Arial"/>
          <w:b/>
          <w:bCs/>
        </w:rPr>
        <w:t>Filing Application with Commission.</w:t>
      </w:r>
      <w:r>
        <w:rPr>
          <w:rFonts w:cs="Arial"/>
        </w:rPr>
        <w:t xml:space="preserve"> Subject to Section 6.1.3(vi) (</w:t>
      </w:r>
      <w:r>
        <w:rPr>
          <w:rFonts w:cs="Arial"/>
          <w:i/>
          <w:iCs/>
        </w:rPr>
        <w:t>Burdensome Conditions</w:t>
      </w:r>
      <w:r>
        <w:rPr>
          <w:rFonts w:cs="Arial"/>
        </w:rPr>
        <w:t>) GPC will use commercially reasonable efforts to obtain the Commission Certificate, and in furtherance thereof, to target a filing of the application as soon as reasonably practicable after execution of this APA and in accordance with Section 6.1.3(iii)(e) (</w:t>
      </w:r>
      <w:r>
        <w:rPr>
          <w:rFonts w:cs="Arial"/>
          <w:i/>
          <w:iCs/>
        </w:rPr>
        <w:t>Government Approvals; Consents</w:t>
      </w:r>
      <w:r>
        <w:rPr>
          <w:rFonts w:cs="Arial"/>
        </w:rPr>
        <w:t>), and to pursue the issuance of the Commission Certificate. Seller agrees to assist and support GPC, in a timely manner and to the extent reasonably requested by GPC, in obtaining the Commission Certificate.</w:t>
      </w:r>
    </w:p>
    <w:p w:rsidRPr="00AB38D8" w:rsidR="00355B1B" w:rsidP="00B71D5E" w:rsidRDefault="00355B1B" w14:paraId="6833878F" w14:textId="3F4CBA84">
      <w:pPr>
        <w:pStyle w:val="zGTC04"/>
        <w:widowControl w:val="0"/>
        <w:rPr>
          <w:rFonts w:cs="Arial"/>
        </w:rPr>
      </w:pPr>
      <w:bookmarkStart w:name="_Hlk143531049" w:id="388"/>
      <w:bookmarkStart w:name="_Hlk139898624" w:id="389"/>
      <w:r>
        <w:rPr>
          <w:rFonts w:cs="Arial"/>
          <w:b/>
          <w:bCs/>
        </w:rPr>
        <w:t>Certificate Conditions.</w:t>
      </w:r>
      <w:r>
        <w:rPr>
          <w:rFonts w:cs="Arial"/>
        </w:rPr>
        <w:t xml:space="preserve"> If: (a) the Commission issues a Commission Certificate that is subject to material qualifications or any Burdensome Condition; (b) the Commission has not approved this APA through the granting of a Commission Certificate for the recovery in rates for the purchase of the Facility Assets; or (c) the Commission fails to issue a Commission Certificate by the date required in </w:t>
      </w:r>
      <w:r>
        <w:rPr>
          <w:rStyle w:val="ui-provider"/>
          <w:rFonts w:cs="Arial"/>
        </w:rPr>
        <w:t>Commission Rule 515-3-4-.07(1)(e)(5)</w:t>
      </w:r>
      <w:r>
        <w:rPr>
          <w:rFonts w:cs="Arial"/>
        </w:rPr>
        <w:t>, then GPC may terminate this APA upon notice to Seller. If GPC terminates this APA under subpart (a) or (b), then GPC must give Seller notice of termination no later than 30 days after the issuance of the Order either approving the Commission Certificate with material qualifications or conditions or denying the Commission Certificate</w:t>
      </w:r>
      <w:bookmarkStart w:name="_Hlk143767770" w:id="390"/>
      <w:r>
        <w:rPr>
          <w:rFonts w:cs="Arial"/>
        </w:rPr>
        <w:t xml:space="preserve">. If GPC terminates this APA under subpart (c), then GPC must give Seller notice of termination within 30 days after the date by which the Commission was required to issue the Commission Certificate under </w:t>
      </w:r>
      <w:r>
        <w:rPr>
          <w:rStyle w:val="ui-provider"/>
          <w:rFonts w:cs="Arial"/>
        </w:rPr>
        <w:t>Commission Rule 515-3-4-.07(1)(e)(5)</w:t>
      </w:r>
      <w:bookmarkEnd w:id="390"/>
      <w:r>
        <w:rPr>
          <w:rStyle w:val="ui-provider"/>
          <w:rFonts w:cs="Arial"/>
        </w:rPr>
        <w:t xml:space="preserve">. </w:t>
      </w:r>
      <w:r>
        <w:rPr>
          <w:rFonts w:cs="Arial"/>
        </w:rPr>
        <w:t xml:space="preserve">If, within 30 days after the Order approving or denying the Commission Certificate, GPC appeals the issuance or denial of the Commission Certificate to the Commission or Fulton County Superior Court, then GPC’s right to terminate this APA will be extended until the date that is 80 days after the date of the Order approving or denying the Commission Certificate. Upon </w:t>
      </w:r>
      <w:proofErr w:type="gramStart"/>
      <w:r>
        <w:rPr>
          <w:rFonts w:cs="Arial"/>
        </w:rPr>
        <w:t>a termination</w:t>
      </w:r>
      <w:proofErr w:type="gramEnd"/>
      <w:r>
        <w:rPr>
          <w:rFonts w:cs="Arial"/>
        </w:rPr>
        <w:t xml:space="preserve"> under this </w:t>
      </w:r>
      <w:r>
        <w:t>Section</w:t>
      </w:r>
      <w:r>
        <w:rPr>
          <w:rFonts w:cs="Arial"/>
        </w:rPr>
        <w:t xml:space="preserve"> 6.1.4(ii) (</w:t>
      </w:r>
      <w:r>
        <w:rPr>
          <w:rFonts w:cs="Arial"/>
          <w:i/>
          <w:iCs/>
        </w:rPr>
        <w:t>Certificate Conditions</w:t>
      </w:r>
      <w:r>
        <w:rPr>
          <w:rFonts w:cs="Arial"/>
        </w:rPr>
        <w:t>): (A) neither Party will have any further liability to the other Party under this APA; and (B) GPC will promptly return to Seller any unused portion of the Performance Security</w:t>
      </w:r>
      <w:r w:rsidR="006B6451">
        <w:rPr>
          <w:rFonts w:cs="Arial"/>
        </w:rPr>
        <w:t xml:space="preserve">, if </w:t>
      </w:r>
      <w:r w:rsidR="00A20CD8">
        <w:rPr>
          <w:rFonts w:cs="Arial"/>
        </w:rPr>
        <w:t>applicable</w:t>
      </w:r>
      <w:bookmarkEnd w:id="388"/>
      <w:r w:rsidR="00FC65C6">
        <w:rPr>
          <w:rFonts w:cs="Arial"/>
        </w:rPr>
        <w:t>.</w:t>
      </w:r>
    </w:p>
    <w:p w:rsidRPr="00AB38D8" w:rsidR="00617041" w:rsidP="00B71D5E" w:rsidRDefault="00890A60" w14:paraId="1BE46D3E" w14:textId="0E7EC9CE">
      <w:pPr>
        <w:pStyle w:val="zGTC04"/>
        <w:rPr>
          <w:rFonts w:cs="Arial"/>
        </w:rPr>
      </w:pPr>
      <w:r>
        <w:rPr>
          <w:rFonts w:cs="Arial"/>
          <w:b/>
          <w:bCs/>
          <w:szCs w:val="20"/>
        </w:rPr>
        <w:t>Revocation, Qualifications, or Conditions.</w:t>
      </w:r>
      <w:r>
        <w:rPr>
          <w:rFonts w:cs="Arial"/>
          <w:szCs w:val="20"/>
        </w:rPr>
        <w:t xml:space="preserve"> </w:t>
      </w:r>
      <w:r>
        <w:rPr>
          <w:rFonts w:cs="Arial"/>
        </w:rPr>
        <w:t xml:space="preserve">Despite </w:t>
      </w:r>
      <w:r>
        <w:rPr>
          <w:rFonts w:cs="Arial"/>
          <w:szCs w:val="20"/>
        </w:rPr>
        <w:t xml:space="preserve">the provisions of </w:t>
      </w:r>
      <w:r>
        <w:t>Section</w:t>
      </w:r>
      <w:r>
        <w:rPr>
          <w:rFonts w:cs="Arial"/>
          <w:szCs w:val="20"/>
        </w:rPr>
        <w:t xml:space="preserve"> 6.1.4(ii) (</w:t>
      </w:r>
      <w:r>
        <w:rPr>
          <w:rFonts w:cs="Arial"/>
          <w:i/>
          <w:iCs/>
          <w:szCs w:val="20"/>
        </w:rPr>
        <w:t>Certificate Conditions</w:t>
      </w:r>
      <w:r>
        <w:rPr>
          <w:rFonts w:cs="Arial"/>
          <w:szCs w:val="20"/>
        </w:rPr>
        <w:t xml:space="preserve">), if at any time before Closing, the Commission issues an Amended Commission Certificate that </w:t>
      </w:r>
      <w:r w:rsidR="002B3549">
        <w:rPr>
          <w:rFonts w:cs="Arial"/>
          <w:szCs w:val="20"/>
        </w:rPr>
        <w:t xml:space="preserve">revokes the Commission Certificate or </w:t>
      </w:r>
      <w:r>
        <w:rPr>
          <w:rFonts w:cs="Arial"/>
          <w:szCs w:val="20"/>
        </w:rPr>
        <w:t>imposes a material qualification or any Burdensome Condition</w:t>
      </w:r>
      <w:r w:rsidR="002B3549">
        <w:rPr>
          <w:rFonts w:cs="Arial"/>
          <w:szCs w:val="20"/>
        </w:rPr>
        <w:t xml:space="preserve"> that </w:t>
      </w:r>
      <w:r w:rsidR="00A233FA">
        <w:rPr>
          <w:rFonts w:cs="Arial"/>
          <w:szCs w:val="20"/>
        </w:rPr>
        <w:t>adversely affects either Party and that is not acceptable to the affected Party, then the affected Party</w:t>
      </w:r>
      <w:r>
        <w:rPr>
          <w:rFonts w:cs="Arial"/>
          <w:szCs w:val="20"/>
        </w:rPr>
        <w:t xml:space="preserve"> will have the right to terminate this APA</w:t>
      </w:r>
      <w:r w:rsidR="00A233FA">
        <w:rPr>
          <w:rFonts w:cs="Arial"/>
          <w:szCs w:val="20"/>
        </w:rPr>
        <w:t xml:space="preserve">, unless GPC and Seller agree to </w:t>
      </w:r>
      <w:r w:rsidR="00040663">
        <w:rPr>
          <w:rFonts w:cs="Arial"/>
          <w:szCs w:val="20"/>
        </w:rPr>
        <w:t>an amendment in accordance with Section 6.1.4(v) (</w:t>
      </w:r>
      <w:r w:rsidRPr="00040663" w:rsidR="00040663">
        <w:rPr>
          <w:rFonts w:cs="Arial"/>
          <w:i/>
          <w:iCs/>
          <w:szCs w:val="20"/>
        </w:rPr>
        <w:t>APA Amendment</w:t>
      </w:r>
      <w:r w:rsidR="00040663">
        <w:rPr>
          <w:rFonts w:cs="Arial"/>
          <w:szCs w:val="20"/>
        </w:rPr>
        <w:t>)</w:t>
      </w:r>
      <w:r>
        <w:rPr>
          <w:rFonts w:cs="Arial"/>
          <w:szCs w:val="20"/>
        </w:rPr>
        <w:t xml:space="preserve">. Within 15 days after </w:t>
      </w:r>
      <w:r w:rsidR="00040663">
        <w:rPr>
          <w:rFonts w:cs="Arial"/>
          <w:szCs w:val="20"/>
        </w:rPr>
        <w:t>the issuance of</w:t>
      </w:r>
      <w:r w:rsidR="00175E43">
        <w:rPr>
          <w:rFonts w:cs="Arial"/>
          <w:szCs w:val="20"/>
        </w:rPr>
        <w:t xml:space="preserve"> the</w:t>
      </w:r>
      <w:r>
        <w:rPr>
          <w:rFonts w:cs="Arial"/>
          <w:szCs w:val="20"/>
        </w:rPr>
        <w:t xml:space="preserve"> Amended Commission Certificate, </w:t>
      </w:r>
      <w:r w:rsidR="00175E43">
        <w:rPr>
          <w:rFonts w:cs="Arial"/>
          <w:szCs w:val="20"/>
        </w:rPr>
        <w:t>each Party must</w:t>
      </w:r>
      <w:r>
        <w:rPr>
          <w:rFonts w:cs="Arial"/>
          <w:szCs w:val="20"/>
        </w:rPr>
        <w:t xml:space="preserve"> provide </w:t>
      </w:r>
      <w:r w:rsidR="00175E43">
        <w:rPr>
          <w:rFonts w:cs="Arial"/>
          <w:szCs w:val="20"/>
        </w:rPr>
        <w:t xml:space="preserve">the other Party </w:t>
      </w:r>
      <w:r>
        <w:rPr>
          <w:rFonts w:cs="Arial"/>
          <w:szCs w:val="20"/>
        </w:rPr>
        <w:t xml:space="preserve">with notice of whether the Amended Commission Certificate is subject to a material qualification or condition and, if so, whether </w:t>
      </w:r>
      <w:r w:rsidR="00175E43">
        <w:rPr>
          <w:rFonts w:cs="Arial"/>
          <w:szCs w:val="20"/>
        </w:rPr>
        <w:t>the material qualification or condition</w:t>
      </w:r>
      <w:r w:rsidR="00F051C7">
        <w:rPr>
          <w:rFonts w:cs="Arial"/>
          <w:szCs w:val="20"/>
        </w:rPr>
        <w:t xml:space="preserve"> is acceptable to that Party</w:t>
      </w:r>
      <w:r>
        <w:rPr>
          <w:rFonts w:cs="Arial"/>
          <w:szCs w:val="20"/>
        </w:rPr>
        <w:t xml:space="preserve">. If </w:t>
      </w:r>
      <w:r w:rsidR="00F051C7">
        <w:rPr>
          <w:rFonts w:cs="Arial"/>
          <w:szCs w:val="20"/>
        </w:rPr>
        <w:t>a Party does not</w:t>
      </w:r>
      <w:r>
        <w:rPr>
          <w:rFonts w:cs="Arial"/>
          <w:szCs w:val="20"/>
        </w:rPr>
        <w:t xml:space="preserve"> provide notice within the 15-day period, the Amended Commission Certificate will be deemed to be acceptable to </w:t>
      </w:r>
      <w:r w:rsidR="00E001C9">
        <w:rPr>
          <w:rFonts w:cs="Arial"/>
          <w:szCs w:val="20"/>
        </w:rPr>
        <w:t>that Party</w:t>
      </w:r>
      <w:r>
        <w:rPr>
          <w:rFonts w:cs="Arial"/>
          <w:szCs w:val="20"/>
        </w:rPr>
        <w:t xml:space="preserve">. Upon a termination pursuant to </w:t>
      </w:r>
      <w:proofErr w:type="gramStart"/>
      <w:r>
        <w:rPr>
          <w:rFonts w:cs="Arial"/>
          <w:szCs w:val="20"/>
        </w:rPr>
        <w:t xml:space="preserve">this </w:t>
      </w:r>
      <w:r>
        <w:t>Section</w:t>
      </w:r>
      <w:proofErr w:type="gramEnd"/>
      <w:r>
        <w:rPr>
          <w:rFonts w:cs="Arial"/>
          <w:szCs w:val="20"/>
        </w:rPr>
        <w:t xml:space="preserve"> 6.1.4(iii) (</w:t>
      </w:r>
      <w:r>
        <w:rPr>
          <w:rFonts w:cs="Arial"/>
          <w:i/>
          <w:iCs/>
          <w:szCs w:val="20"/>
        </w:rPr>
        <w:t>Revocation, Qualifications, or Conditions)</w:t>
      </w:r>
      <w:r>
        <w:rPr>
          <w:rFonts w:cs="Arial"/>
          <w:szCs w:val="20"/>
        </w:rPr>
        <w:t xml:space="preserve">: (a) neither Party will have any further liability to the other Party under this APA; </w:t>
      </w:r>
      <w:r>
        <w:rPr>
          <w:rFonts w:cs="Arial"/>
        </w:rPr>
        <w:t>and (b) GPC will promptly return to Seller any unused portion of the Performance Security, if applicable</w:t>
      </w:r>
      <w:r>
        <w:rPr>
          <w:rFonts w:cs="Arial"/>
          <w:szCs w:val="20"/>
        </w:rPr>
        <w:t>.</w:t>
      </w:r>
    </w:p>
    <w:bookmarkEnd w:id="389"/>
    <w:p w:rsidRPr="00AB38D8" w:rsidR="00617041" w:rsidP="00B71D5E" w:rsidRDefault="00890A60" w14:paraId="253F9368" w14:textId="19177144">
      <w:pPr>
        <w:pStyle w:val="zGTC04"/>
        <w:rPr>
          <w:rFonts w:cs="Arial"/>
        </w:rPr>
      </w:pPr>
      <w:r>
        <w:rPr>
          <w:rFonts w:cs="Arial"/>
          <w:b/>
          <w:bCs/>
          <w:szCs w:val="20"/>
        </w:rPr>
        <w:t>Change in Economic Circumstances or Market Conditions.</w:t>
      </w:r>
      <w:r>
        <w:rPr>
          <w:rFonts w:cs="Arial"/>
          <w:szCs w:val="20"/>
        </w:rPr>
        <w:t xml:space="preserve"> </w:t>
      </w:r>
      <w:r>
        <w:rPr>
          <w:rFonts w:cs="Arial"/>
        </w:rPr>
        <w:t>Despite any other provision in this</w:t>
      </w:r>
      <w:r>
        <w:rPr>
          <w:rFonts w:cs="Arial"/>
          <w:szCs w:val="20"/>
        </w:rPr>
        <w:t xml:space="preserve"> </w:t>
      </w:r>
      <w:proofErr w:type="gramStart"/>
      <w:r>
        <w:rPr>
          <w:rFonts w:cs="Arial"/>
          <w:szCs w:val="20"/>
        </w:rPr>
        <w:t>APA, and</w:t>
      </w:r>
      <w:proofErr w:type="gramEnd"/>
      <w:r>
        <w:rPr>
          <w:rFonts w:cs="Arial"/>
          <w:szCs w:val="20"/>
        </w:rPr>
        <w:t xml:space="preserve"> provided it is not otherwise required by Commission Rule 515-3-4.08, neither Party will seek to have the Commission revoke or amend the Commission Certificate on the Party’s own initiative for reasons solely related to changed economic circumstances or market conditions affecting this APA.</w:t>
      </w:r>
    </w:p>
    <w:p w:rsidRPr="00AB38D8" w:rsidR="00617041" w:rsidP="00B71D5E" w:rsidRDefault="00890A60" w14:paraId="1306B2E2" w14:textId="0A9DEC99">
      <w:pPr>
        <w:pStyle w:val="zGTC04"/>
        <w:rPr>
          <w:rFonts w:cs="Arial"/>
        </w:rPr>
      </w:pPr>
      <w:r>
        <w:rPr>
          <w:rFonts w:cs="Arial"/>
          <w:b/>
          <w:bCs/>
          <w:szCs w:val="20"/>
        </w:rPr>
        <w:t>APA Amendment.</w:t>
      </w:r>
      <w:r>
        <w:rPr>
          <w:rFonts w:cs="Arial"/>
          <w:szCs w:val="20"/>
        </w:rPr>
        <w:t xml:space="preserve"> If the Commission issues an Order approving this APA with any modification or condition, or issues an Amended Commission Certificate, as applicable, this APA will not be amended to include the modification or condition unless the Parties execute a written amendment agreeing to the modification or condition. If, within 30 days after the Order, GPC requests that Seller execute a written amendment agreeing to the modification or condition, and Seller does not execute a written amendment within 30 days after the request, GPC may </w:t>
      </w:r>
      <w:r>
        <w:rPr>
          <w:rFonts w:cs="Arial"/>
          <w:szCs w:val="20"/>
        </w:rPr>
        <w:lastRenderedPageBreak/>
        <w:t xml:space="preserve">terminate this APA. Upon termination of this APA under this </w:t>
      </w:r>
      <w:r>
        <w:t>Section</w:t>
      </w:r>
      <w:r>
        <w:rPr>
          <w:rFonts w:cs="Arial"/>
          <w:szCs w:val="20"/>
        </w:rPr>
        <w:t xml:space="preserve"> 6.1.4(v) (</w:t>
      </w:r>
      <w:r>
        <w:rPr>
          <w:rFonts w:cs="Arial"/>
          <w:i/>
          <w:iCs/>
          <w:szCs w:val="20"/>
        </w:rPr>
        <w:t>APA Amendment</w:t>
      </w:r>
      <w:r>
        <w:rPr>
          <w:rFonts w:cs="Arial"/>
          <w:szCs w:val="20"/>
        </w:rPr>
        <w:t>), GPC will promptly return to Seller any unused portion of the Performance Security, if applicable, and thereafter, neither Party will have any further obligation to the other Party under this APA.</w:t>
      </w:r>
    </w:p>
    <w:p w:rsidRPr="00AB38D8" w:rsidR="00617041" w:rsidP="00B71D5E" w:rsidRDefault="00890A60" w14:paraId="03094120" w14:textId="77777777">
      <w:pPr>
        <w:pStyle w:val="zGTC04"/>
        <w:rPr>
          <w:rFonts w:cs="Arial"/>
        </w:rPr>
      </w:pPr>
      <w:r>
        <w:rPr>
          <w:rFonts w:cs="Arial"/>
          <w:b/>
          <w:bCs/>
          <w:szCs w:val="20"/>
        </w:rPr>
        <w:t>Affiliate FERC Approval.</w:t>
      </w:r>
      <w:r>
        <w:rPr>
          <w:rFonts w:cs="Arial"/>
          <w:szCs w:val="20"/>
        </w:rPr>
        <w:t xml:space="preserve"> If Seller is an Affiliate of GPC and if required by applicable </w:t>
      </w:r>
      <w:r>
        <w:t>law</w:t>
      </w:r>
      <w:r>
        <w:rPr>
          <w:rFonts w:cs="Arial"/>
          <w:szCs w:val="20"/>
        </w:rPr>
        <w:t xml:space="preserve">, FERC will have approved this APA without modification or conditions, or if approved subject to modification or conditions, only with such modifications or conditions that are acceptable to both Parties. </w:t>
      </w:r>
    </w:p>
    <w:p w:rsidRPr="008302ED" w:rsidR="00617041" w:rsidP="00B71D5E" w:rsidRDefault="00890A60" w14:paraId="151424DF" w14:textId="77777777">
      <w:pPr>
        <w:pStyle w:val="zGTC04"/>
        <w:rPr>
          <w:rFonts w:cs="Arial"/>
        </w:rPr>
      </w:pPr>
      <w:r>
        <w:rPr>
          <w:rFonts w:cs="Arial"/>
          <w:b/>
          <w:bCs/>
          <w:szCs w:val="20"/>
        </w:rPr>
        <w:t>FERC Filings Waiver.</w:t>
      </w:r>
      <w:r>
        <w:rPr>
          <w:rFonts w:cs="Arial"/>
          <w:szCs w:val="20"/>
        </w:rPr>
        <w:t xml:space="preserve"> The Parties waive all rights to submit filings to FERC seeking modification or rescission of this APA under Section 205 or 206 of the Federal Power Act. In any proceeding before FERC involving this APA, the Parties will request the “public interest” application of the “just and reasonable” standard of review in </w:t>
      </w:r>
      <w:r>
        <w:rPr>
          <w:rFonts w:cs="Arial"/>
          <w:szCs w:val="20"/>
          <w:u w:val="single"/>
        </w:rPr>
        <w:t>United Gas Pipe Line Co., v. Mobile Gas Service Corp.</w:t>
      </w:r>
      <w:r>
        <w:rPr>
          <w:rFonts w:cs="Arial"/>
          <w:szCs w:val="20"/>
        </w:rPr>
        <w:t xml:space="preserve">, 350 U.S. 332 (1956) and </w:t>
      </w:r>
      <w:r>
        <w:rPr>
          <w:rFonts w:cs="Arial"/>
          <w:szCs w:val="20"/>
          <w:u w:val="single"/>
        </w:rPr>
        <w:t>Federal Power Commission v. Sierra Pacific Power Co.</w:t>
      </w:r>
      <w:r>
        <w:rPr>
          <w:rFonts w:cs="Arial"/>
          <w:szCs w:val="20"/>
        </w:rPr>
        <w:t xml:space="preserve">, 350 U.S. 348 (1956), and clarified by </w:t>
      </w:r>
      <w:r>
        <w:rPr>
          <w:rFonts w:cs="Arial"/>
          <w:szCs w:val="20"/>
          <w:u w:val="single"/>
        </w:rPr>
        <w:t>NRG Power Marketing LLC v. Maine Public Utility Commission</w:t>
      </w:r>
      <w:r>
        <w:rPr>
          <w:rFonts w:cs="Arial"/>
          <w:szCs w:val="20"/>
        </w:rPr>
        <w:t>, 130 S. Ct. 693 (2010).</w:t>
      </w:r>
    </w:p>
    <w:p w:rsidRPr="00AB38D8" w:rsidR="0029492C" w:rsidP="00B71D5E" w:rsidRDefault="0029492C" w14:paraId="40D733FD" w14:textId="77777777">
      <w:pPr>
        <w:pStyle w:val="zGTC02"/>
        <w:rPr>
          <w:rFonts w:ascii="Arial" w:hAnsi="Arial" w:cs="Arial"/>
          <w:vanish/>
          <w:specVanish/>
        </w:rPr>
      </w:pPr>
      <w:bookmarkStart w:name="_Toc138350405" w:id="391"/>
      <w:bookmarkStart w:name="_Toc143607254" w:id="392"/>
      <w:bookmarkStart w:name="_Toc181639468" w:id="393"/>
      <w:bookmarkStart w:name="_Toc214644788" w:id="394"/>
      <w:bookmarkEnd w:id="384"/>
      <w:r>
        <w:rPr>
          <w:rFonts w:ascii="Arial" w:hAnsi="Arial" w:cs="Arial"/>
        </w:rPr>
        <w:t xml:space="preserve">Conditions </w:t>
      </w:r>
      <w:proofErr w:type="gramStart"/>
      <w:r>
        <w:rPr>
          <w:rFonts w:ascii="Arial" w:hAnsi="Arial" w:cs="Arial"/>
        </w:rPr>
        <w:t>to</w:t>
      </w:r>
      <w:proofErr w:type="gramEnd"/>
      <w:r>
        <w:rPr>
          <w:rFonts w:ascii="Arial" w:hAnsi="Arial" w:cs="Arial"/>
        </w:rPr>
        <w:t xml:space="preserve"> Obligations of GPC.</w:t>
      </w:r>
      <w:bookmarkEnd w:id="391"/>
      <w:bookmarkEnd w:id="392"/>
      <w:bookmarkEnd w:id="393"/>
      <w:bookmarkEnd w:id="394"/>
    </w:p>
    <w:p w:rsidRPr="00AB38D8" w:rsidR="0029492C" w:rsidP="00B71D5E" w:rsidRDefault="0029492C" w14:paraId="1AF24B80" w14:textId="77777777">
      <w:pPr>
        <w:pStyle w:val="zGNormal"/>
        <w:spacing w:after="120"/>
      </w:pPr>
      <w:r>
        <w:t xml:space="preserve"> GPC’s obligations under this APA to consummate the transactions contemplated by this APA are subject to the satisfaction (or waiver by GPC) of each of the following conditions at or before the Closing:</w:t>
      </w:r>
    </w:p>
    <w:p w:rsidRPr="00AB38D8" w:rsidR="0029492C" w:rsidP="00B71D5E" w:rsidRDefault="0029492C" w14:paraId="5C473821" w14:textId="77777777">
      <w:pPr>
        <w:pStyle w:val="zGTC03"/>
        <w:rPr>
          <w:rFonts w:cs="Arial"/>
        </w:rPr>
      </w:pPr>
      <w:r>
        <w:rPr>
          <w:rFonts w:cs="Arial"/>
          <w:b/>
          <w:bCs/>
        </w:rPr>
        <w:t>Seller’s Representations and Warranties.</w:t>
      </w:r>
      <w:r>
        <w:rPr>
          <w:rFonts w:cs="Arial"/>
        </w:rPr>
        <w:t xml:space="preserve"> The representations and warranties of Seller set forth in Part 3 (</w:t>
      </w:r>
      <w:r>
        <w:rPr>
          <w:rFonts w:cs="Arial"/>
          <w:i/>
          <w:iCs/>
        </w:rPr>
        <w:t>Representations and Warranties of Seller</w:t>
      </w:r>
      <w:r>
        <w:rPr>
          <w:rFonts w:cs="Arial"/>
        </w:rPr>
        <w:t>), disregarding any “materiality,” “Seller Material Adverse Effect,” or other similar qualifications, are true and correct in all material respects, in each case on and as of the Closing Date with the same force and effect as though such representations and warranties were made on and as of the Closing Date (except to the extent that such representations and warranties expressly are made as of an earlier date, in which case, as of the applicable earlier date);</w:t>
      </w:r>
    </w:p>
    <w:p w:rsidRPr="00AB38D8" w:rsidR="0029492C" w:rsidP="00B71D5E" w:rsidRDefault="0029492C" w14:paraId="33412088" w14:textId="2F344208">
      <w:pPr>
        <w:pStyle w:val="zGTC03"/>
        <w:rPr>
          <w:rFonts w:cs="Arial"/>
        </w:rPr>
      </w:pPr>
      <w:r>
        <w:rPr>
          <w:rFonts w:cs="Arial"/>
          <w:b/>
          <w:bCs/>
          <w:szCs w:val="20"/>
        </w:rPr>
        <w:t xml:space="preserve">Performance </w:t>
      </w:r>
      <w:r w:rsidR="0090318B">
        <w:rPr>
          <w:rFonts w:cs="Arial"/>
          <w:b/>
          <w:bCs/>
          <w:szCs w:val="20"/>
        </w:rPr>
        <w:t>Before</w:t>
      </w:r>
      <w:r>
        <w:rPr>
          <w:rFonts w:cs="Arial"/>
          <w:b/>
          <w:bCs/>
          <w:szCs w:val="20"/>
        </w:rPr>
        <w:t xml:space="preserve"> and at Closing.</w:t>
      </w:r>
      <w:r>
        <w:rPr>
          <w:rFonts w:cs="Arial"/>
          <w:szCs w:val="20"/>
        </w:rPr>
        <w:t xml:space="preserve"> Each of the covenants and agreements of the Seller that are to be complied with or performed under this APA at or </w:t>
      </w:r>
      <w:r w:rsidR="0090318B">
        <w:rPr>
          <w:rFonts w:cs="Arial"/>
          <w:szCs w:val="20"/>
        </w:rPr>
        <w:t>before</w:t>
      </w:r>
      <w:r>
        <w:rPr>
          <w:rFonts w:cs="Arial"/>
          <w:szCs w:val="20"/>
        </w:rPr>
        <w:t xml:space="preserve"> the Closing have been complied with and performed in all material respects.</w:t>
      </w:r>
    </w:p>
    <w:p w:rsidRPr="00AB38D8" w:rsidR="0029492C" w:rsidP="00B71D5E" w:rsidRDefault="0029492C" w14:paraId="6489D360" w14:textId="77777777">
      <w:pPr>
        <w:pStyle w:val="zGTC03"/>
        <w:rPr>
          <w:rFonts w:cs="Arial"/>
        </w:rPr>
      </w:pPr>
      <w:r>
        <w:rPr>
          <w:rFonts w:cs="Arial"/>
          <w:b/>
          <w:bCs/>
          <w:szCs w:val="20"/>
        </w:rPr>
        <w:t>Seller Material Adverse Effect.</w:t>
      </w:r>
      <w:r>
        <w:rPr>
          <w:rFonts w:cs="Arial"/>
          <w:szCs w:val="20"/>
        </w:rPr>
        <w:t xml:space="preserve"> No Seller Material Adverse Effect has occurred and is continuing as of the Closing.</w:t>
      </w:r>
    </w:p>
    <w:p w:rsidRPr="00AB38D8" w:rsidR="0029492C" w:rsidP="00B71D5E" w:rsidRDefault="00801645" w14:paraId="167EFF24" w14:textId="77777777">
      <w:pPr>
        <w:pStyle w:val="zGTC03"/>
        <w:rPr>
          <w:rFonts w:cs="Arial"/>
        </w:rPr>
      </w:pPr>
      <w:r>
        <w:rPr>
          <w:rFonts w:cs="Arial"/>
          <w:b/>
          <w:bCs/>
          <w:szCs w:val="20"/>
        </w:rPr>
        <w:t>Seller Closing Deliveries.</w:t>
      </w:r>
      <w:r>
        <w:rPr>
          <w:rFonts w:cs="Arial"/>
          <w:szCs w:val="20"/>
        </w:rPr>
        <w:t xml:space="preserve"> Seller has delivered (or caused to be delivered) to GPC the following:</w:t>
      </w:r>
    </w:p>
    <w:p w:rsidRPr="00AB38D8" w:rsidR="0029492C" w:rsidP="00B71D5E" w:rsidRDefault="0029492C" w14:paraId="210EC5D2" w14:textId="77777777">
      <w:pPr>
        <w:pStyle w:val="zGTC04"/>
        <w:rPr>
          <w:rFonts w:cs="Arial"/>
        </w:rPr>
      </w:pPr>
      <w:r>
        <w:rPr>
          <w:rFonts w:cs="Arial"/>
        </w:rPr>
        <w:t xml:space="preserve">a counterpart of the Bill of Sale, duly executed by </w:t>
      </w:r>
      <w:proofErr w:type="gramStart"/>
      <w:r>
        <w:rPr>
          <w:rFonts w:cs="Arial"/>
        </w:rPr>
        <w:t>Seller;</w:t>
      </w:r>
      <w:proofErr w:type="gramEnd"/>
      <w:r>
        <w:rPr>
          <w:rFonts w:cs="Arial"/>
        </w:rPr>
        <w:t xml:space="preserve"> </w:t>
      </w:r>
    </w:p>
    <w:p w:rsidRPr="00AB38D8" w:rsidR="0029492C" w:rsidP="00B71D5E" w:rsidRDefault="0029492C" w14:paraId="4EC7D68A" w14:textId="77777777">
      <w:pPr>
        <w:pStyle w:val="zGTC04"/>
        <w:rPr>
          <w:rFonts w:cs="Arial"/>
        </w:rPr>
      </w:pPr>
      <w:r>
        <w:rPr>
          <w:rFonts w:cs="Arial"/>
          <w:szCs w:val="20"/>
        </w:rPr>
        <w:t xml:space="preserve">a counterpart to the Assignment Agreement, duly executed by </w:t>
      </w:r>
      <w:proofErr w:type="gramStart"/>
      <w:r>
        <w:rPr>
          <w:rFonts w:cs="Arial"/>
          <w:szCs w:val="20"/>
        </w:rPr>
        <w:t>Seller;</w:t>
      </w:r>
      <w:proofErr w:type="gramEnd"/>
    </w:p>
    <w:p w:rsidRPr="00AB38D8" w:rsidR="000D4189" w:rsidP="00B71D5E" w:rsidRDefault="000D4189" w14:paraId="69E74897" w14:textId="55E675DE">
      <w:pPr>
        <w:pStyle w:val="zGTC04"/>
        <w:rPr>
          <w:rFonts w:cs="Arial"/>
        </w:rPr>
      </w:pPr>
      <w:r>
        <w:rPr>
          <w:rFonts w:cs="Arial"/>
        </w:rPr>
        <w:t xml:space="preserve">the Lease Assignment Consent, duly executed by Seller and Landlord </w:t>
      </w:r>
      <w:r w:rsidR="00EB07CE">
        <w:rPr>
          <w:rFonts w:cs="Arial"/>
        </w:rPr>
        <w:t>(as defined in the Lease Assignment Consent</w:t>
      </w:r>
      <w:proofErr w:type="gramStart"/>
      <w:r w:rsidR="00EB07CE">
        <w:rPr>
          <w:rFonts w:cs="Arial"/>
        </w:rPr>
        <w:t>)</w:t>
      </w:r>
      <w:r>
        <w:rPr>
          <w:rFonts w:cs="Arial"/>
        </w:rPr>
        <w:t>;</w:t>
      </w:r>
      <w:proofErr w:type="gramEnd"/>
    </w:p>
    <w:p w:rsidRPr="00AB38D8" w:rsidR="0029492C" w:rsidP="00B71D5E" w:rsidRDefault="0029492C" w14:paraId="7FDEC126" w14:textId="09912B42">
      <w:pPr>
        <w:pStyle w:val="zGTC04"/>
        <w:rPr>
          <w:rFonts w:cs="Arial"/>
        </w:rPr>
      </w:pPr>
      <w:r>
        <w:rPr>
          <w:rFonts w:cs="Arial"/>
        </w:rPr>
        <w:t xml:space="preserve">a certificate, dated as of the Closing Date, duly executed by an officer of Seller certifying: (a) that the conditions described in </w:t>
      </w:r>
      <w:r>
        <w:t>Sections</w:t>
      </w:r>
      <w:r>
        <w:rPr>
          <w:rFonts w:cs="Arial"/>
        </w:rPr>
        <w:t xml:space="preserve"> 6.2.1 (</w:t>
      </w:r>
      <w:r>
        <w:rPr>
          <w:rFonts w:cs="Arial"/>
          <w:i/>
          <w:iCs/>
        </w:rPr>
        <w:t>Seller’s Representations and Warranties</w:t>
      </w:r>
      <w:r>
        <w:rPr>
          <w:rFonts w:cs="Arial"/>
        </w:rPr>
        <w:t>) and 6.2.2 (</w:t>
      </w:r>
      <w:r>
        <w:rPr>
          <w:rFonts w:cs="Arial"/>
          <w:i/>
        </w:rPr>
        <w:t xml:space="preserve">Performance </w:t>
      </w:r>
      <w:r w:rsidR="0090318B">
        <w:rPr>
          <w:rFonts w:cs="Arial"/>
          <w:i/>
        </w:rPr>
        <w:t>Before</w:t>
      </w:r>
      <w:r>
        <w:rPr>
          <w:rFonts w:cs="Arial"/>
          <w:i/>
        </w:rPr>
        <w:t xml:space="preserve"> and at Closing</w:t>
      </w:r>
      <w:r>
        <w:rPr>
          <w:rFonts w:cs="Arial"/>
        </w:rPr>
        <w:t>) have been satisfied; (b) that true and complete copies of resolutions of Seller authorizing the consummation of the transactions contemplated by this APA are attached to the certificate and that the resolutions were duly adopted, have not been rescinded, or amended and remain in full force and effect; and (c) as to the incumbency and signature of each Person executing documents on behalf of Seller or its Affiliates (“</w:t>
      </w:r>
      <w:r>
        <w:rPr>
          <w:rFonts w:cs="Arial"/>
          <w:b/>
        </w:rPr>
        <w:t>Seller Closing Certificate</w:t>
      </w:r>
      <w:r>
        <w:rPr>
          <w:rFonts w:cs="Arial"/>
        </w:rPr>
        <w:t xml:space="preserve">”); </w:t>
      </w:r>
    </w:p>
    <w:p w:rsidRPr="00B71D5E" w:rsidR="0029492C" w:rsidP="00B71D5E" w:rsidRDefault="0029492C" w14:paraId="1FA4D12F" w14:textId="77777777">
      <w:pPr>
        <w:pStyle w:val="zGTC04"/>
        <w:rPr>
          <w:rFonts w:cs="Arial"/>
        </w:rPr>
      </w:pPr>
      <w:r>
        <w:rPr>
          <w:rFonts w:cs="Arial"/>
          <w:highlight w:val="yellow"/>
        </w:rPr>
        <w:t>[a counterpart of [●], duly executed by [●]</w:t>
      </w:r>
      <w:proofErr w:type="gramStart"/>
      <w:r>
        <w:rPr>
          <w:rFonts w:cs="Arial"/>
          <w:highlight w:val="yellow"/>
        </w:rPr>
        <w:t>;]</w:t>
      </w:r>
      <w:r>
        <w:rPr>
          <w:rFonts w:cs="Arial"/>
          <w:b/>
          <w:bCs/>
          <w:szCs w:val="20"/>
          <w:highlight w:val="cyan"/>
        </w:rPr>
        <w:t>[</w:t>
      </w:r>
      <w:proofErr w:type="gramEnd"/>
      <w:r>
        <w:rPr>
          <w:rFonts w:cs="Arial"/>
          <w:b/>
          <w:bCs/>
          <w:i/>
          <w:iCs/>
          <w:szCs w:val="20"/>
          <w:highlight w:val="cyan"/>
          <w:u w:val="single"/>
        </w:rPr>
        <w:t>Note to Bidders</w:t>
      </w:r>
      <w:r>
        <w:rPr>
          <w:rFonts w:cs="Arial"/>
          <w:b/>
          <w:bCs/>
          <w:i/>
          <w:iCs/>
          <w:szCs w:val="20"/>
          <w:highlight w:val="cyan"/>
        </w:rPr>
        <w:t xml:space="preserve">: To include any agreements Seller or its Affiliates will </w:t>
      </w:r>
      <w:proofErr w:type="gramStart"/>
      <w:r>
        <w:rPr>
          <w:rFonts w:cs="Arial"/>
          <w:b/>
          <w:bCs/>
          <w:i/>
          <w:iCs/>
          <w:szCs w:val="20"/>
          <w:highlight w:val="cyan"/>
        </w:rPr>
        <w:t>enter into</w:t>
      </w:r>
      <w:proofErr w:type="gramEnd"/>
      <w:r>
        <w:rPr>
          <w:rFonts w:cs="Arial"/>
          <w:b/>
          <w:bCs/>
          <w:i/>
          <w:iCs/>
          <w:szCs w:val="20"/>
          <w:highlight w:val="cyan"/>
        </w:rPr>
        <w:t xml:space="preserve"> to perform work or services after the Closing.</w:t>
      </w:r>
      <w:r>
        <w:rPr>
          <w:rFonts w:cs="Arial"/>
          <w:b/>
          <w:bCs/>
          <w:szCs w:val="20"/>
          <w:highlight w:val="cyan"/>
        </w:rPr>
        <w:t>]</w:t>
      </w:r>
    </w:p>
    <w:p w:rsidRPr="00AB38D8" w:rsidR="00D71518" w:rsidP="00B71D5E" w:rsidRDefault="006C63A4" w14:paraId="10F9ADA7" w14:textId="77777777">
      <w:pPr>
        <w:pStyle w:val="zGTC04"/>
        <w:rPr>
          <w:rFonts w:cs="Arial"/>
        </w:rPr>
      </w:pPr>
      <w:r>
        <w:rPr>
          <w:rFonts w:cs="Arial"/>
        </w:rPr>
        <w:t>if required in accordance with Section 5.15 (</w:t>
      </w:r>
      <w:r>
        <w:rPr>
          <w:rFonts w:cs="Arial"/>
          <w:i/>
          <w:iCs/>
        </w:rPr>
        <w:t>Performance Security</w:t>
      </w:r>
      <w:r>
        <w:rPr>
          <w:rFonts w:cs="Arial"/>
        </w:rPr>
        <w:t xml:space="preserve">), the Closing Date Letter of </w:t>
      </w:r>
      <w:proofErr w:type="gramStart"/>
      <w:r>
        <w:rPr>
          <w:rFonts w:cs="Arial"/>
        </w:rPr>
        <w:t>Credit;</w:t>
      </w:r>
      <w:proofErr w:type="gramEnd"/>
    </w:p>
    <w:p w:rsidRPr="00AB38D8" w:rsidR="0029492C" w:rsidP="00B71D5E" w:rsidRDefault="0029492C" w14:paraId="55878E46" w14:textId="77777777">
      <w:pPr>
        <w:pStyle w:val="zGTC04"/>
        <w:rPr>
          <w:rFonts w:cs="Arial"/>
        </w:rPr>
      </w:pPr>
      <w:r>
        <w:rPr>
          <w:rFonts w:cs="Arial"/>
        </w:rPr>
        <w:t xml:space="preserve">all guarantees required under the other Transaction Documents, duly executed by Seller </w:t>
      </w:r>
      <w:proofErr w:type="gramStart"/>
      <w:r>
        <w:rPr>
          <w:rFonts w:cs="Arial"/>
        </w:rPr>
        <w:t>Guarantor;</w:t>
      </w:r>
      <w:proofErr w:type="gramEnd"/>
    </w:p>
    <w:p w:rsidRPr="00AB38D8" w:rsidR="0029492C" w:rsidP="00B71D5E" w:rsidRDefault="0029492C" w14:paraId="4C69EC85" w14:textId="77777777">
      <w:pPr>
        <w:pStyle w:val="zGTC04"/>
        <w:rPr>
          <w:rFonts w:cs="Arial"/>
        </w:rPr>
      </w:pPr>
      <w:r>
        <w:rPr>
          <w:rFonts w:cs="Arial"/>
        </w:rPr>
        <w:t>estoppel certificates executed on behalf of at least the threshold (specified in Exhibit A-1 (</w:t>
      </w:r>
      <w:r>
        <w:rPr>
          <w:rFonts w:cs="Arial"/>
          <w:i/>
          <w:iCs/>
        </w:rPr>
        <w:t>Facility Information and Additional Details</w:t>
      </w:r>
      <w:r>
        <w:rPr>
          <w:rFonts w:cs="Arial"/>
        </w:rPr>
        <w:t xml:space="preserve">)) of the landowners, easement grantors, and licensors under the Real Property </w:t>
      </w:r>
      <w:proofErr w:type="gramStart"/>
      <w:r>
        <w:rPr>
          <w:rFonts w:cs="Arial"/>
        </w:rPr>
        <w:t>Agreements;</w:t>
      </w:r>
      <w:proofErr w:type="gramEnd"/>
    </w:p>
    <w:p w:rsidRPr="00AB38D8" w:rsidR="0029492C" w:rsidP="00B71D5E" w:rsidRDefault="0029492C" w14:paraId="16A38309" w14:textId="77777777">
      <w:pPr>
        <w:pStyle w:val="zGTC04"/>
        <w:rPr>
          <w:rFonts w:cs="Arial"/>
        </w:rPr>
      </w:pPr>
      <w:proofErr w:type="gramStart"/>
      <w:r>
        <w:rPr>
          <w:rFonts w:cs="Arial"/>
        </w:rPr>
        <w:t>the Title</w:t>
      </w:r>
      <w:proofErr w:type="gramEnd"/>
      <w:r>
        <w:rPr>
          <w:rFonts w:cs="Arial"/>
        </w:rPr>
        <w:t xml:space="preserve"> </w:t>
      </w:r>
      <w:proofErr w:type="gramStart"/>
      <w:r>
        <w:rPr>
          <w:rFonts w:cs="Arial"/>
        </w:rPr>
        <w:t>Policy;</w:t>
      </w:r>
      <w:proofErr w:type="gramEnd"/>
    </w:p>
    <w:p w:rsidRPr="00AB38D8" w:rsidR="0029492C" w:rsidP="00B71D5E" w:rsidRDefault="0029492C" w14:paraId="19E6A625" w14:textId="77777777">
      <w:pPr>
        <w:pStyle w:val="zGTC04"/>
        <w:rPr>
          <w:rFonts w:cs="Arial"/>
        </w:rPr>
      </w:pPr>
      <w:r>
        <w:rPr>
          <w:rFonts w:cs="Arial"/>
        </w:rPr>
        <w:lastRenderedPageBreak/>
        <w:t xml:space="preserve">the Updated </w:t>
      </w:r>
      <w:proofErr w:type="gramStart"/>
      <w:r>
        <w:rPr>
          <w:rFonts w:cs="Arial"/>
        </w:rPr>
        <w:t>Surveys;</w:t>
      </w:r>
      <w:proofErr w:type="gramEnd"/>
    </w:p>
    <w:p w:rsidRPr="00AB38D8" w:rsidR="0029492C" w:rsidP="00B71D5E" w:rsidRDefault="0029492C" w14:paraId="4080A3EC" w14:textId="77777777">
      <w:pPr>
        <w:pStyle w:val="zGTC04"/>
        <w:rPr>
          <w:rFonts w:cs="Arial"/>
        </w:rPr>
      </w:pPr>
      <w:r>
        <w:rPr>
          <w:rFonts w:cs="Arial"/>
        </w:rPr>
        <w:t xml:space="preserve">a Form W-9 properly completed and duly executed by </w:t>
      </w:r>
      <w:proofErr w:type="gramStart"/>
      <w:r>
        <w:rPr>
          <w:rFonts w:cs="Arial"/>
        </w:rPr>
        <w:t>Seller;</w:t>
      </w:r>
      <w:proofErr w:type="gramEnd"/>
    </w:p>
    <w:p w:rsidRPr="00AB38D8" w:rsidR="0029492C" w:rsidP="00B71D5E" w:rsidRDefault="0029492C" w14:paraId="221D5D58" w14:textId="77777777">
      <w:pPr>
        <w:pStyle w:val="zGTC04"/>
        <w:rPr>
          <w:rFonts w:cs="Arial"/>
        </w:rPr>
      </w:pPr>
      <w:r>
        <w:rPr>
          <w:rFonts w:cs="Arial"/>
        </w:rPr>
        <w:t>a certificate in accordance with Treasury Regulations Section 1.1445-2(b</w:t>
      </w:r>
      <w:proofErr w:type="gramStart"/>
      <w:r>
        <w:rPr>
          <w:rFonts w:cs="Arial"/>
        </w:rPr>
        <w:t>);</w:t>
      </w:r>
      <w:proofErr w:type="gramEnd"/>
      <w:r>
        <w:rPr>
          <w:rFonts w:cs="Arial"/>
        </w:rPr>
        <w:t xml:space="preserve"> </w:t>
      </w:r>
    </w:p>
    <w:p w:rsidRPr="00AB38D8" w:rsidR="00874B7B" w:rsidP="00B71D5E" w:rsidRDefault="00C23DA2" w14:paraId="5B92ACD1" w14:textId="1AEDC84F">
      <w:pPr>
        <w:pStyle w:val="zGTC04"/>
        <w:rPr>
          <w:rFonts w:cs="Arial"/>
        </w:rPr>
      </w:pPr>
      <w:r>
        <w:rPr>
          <w:rFonts w:cs="Arial"/>
        </w:rPr>
        <w:t xml:space="preserve">if applicable, a completed Domestic Content Certificate in substantially the form of Exhibit </w:t>
      </w:r>
      <w:r w:rsidR="009B029D">
        <w:rPr>
          <w:rFonts w:cs="Arial"/>
        </w:rPr>
        <w:t>H</w:t>
      </w:r>
      <w:r>
        <w:rPr>
          <w:rFonts w:cs="Arial"/>
        </w:rPr>
        <w:t xml:space="preserve"> (</w:t>
      </w:r>
      <w:r>
        <w:rPr>
          <w:rFonts w:cs="Arial"/>
          <w:i/>
        </w:rPr>
        <w:t>Form of Domestic Content Certificate</w:t>
      </w:r>
      <w:r>
        <w:rPr>
          <w:rFonts w:cs="Arial"/>
        </w:rPr>
        <w:t xml:space="preserve">) attached to this </w:t>
      </w:r>
      <w:proofErr w:type="gramStart"/>
      <w:r>
        <w:rPr>
          <w:rFonts w:cs="Arial"/>
        </w:rPr>
        <w:t>APA;</w:t>
      </w:r>
      <w:proofErr w:type="gramEnd"/>
    </w:p>
    <w:p w:rsidRPr="00AB38D8" w:rsidR="0029492C" w:rsidP="00B71D5E" w:rsidRDefault="00D71518" w14:paraId="24FCC271" w14:textId="77777777">
      <w:pPr>
        <w:pStyle w:val="zGTC04"/>
        <w:rPr>
          <w:rFonts w:cs="Arial"/>
        </w:rPr>
      </w:pPr>
      <w:r>
        <w:rPr>
          <w:rFonts w:cs="Arial"/>
        </w:rPr>
        <w:t>(a) a current and valid Phase I environmental site assessment conducted in accordance with ASTM E1527-13 regarding the Facility Real Property and, if required pursuant to ASTM E1527-13, a current and valid Phase II environmental site assessment, in each case, dated no more than the number of days before the Closing Date as specified in Exhibit A-1 (</w:t>
      </w:r>
      <w:r>
        <w:rPr>
          <w:rFonts w:cs="Arial"/>
          <w:i/>
          <w:iCs/>
        </w:rPr>
        <w:t>Facility Information and Additional Details</w:t>
      </w:r>
      <w:r>
        <w:rPr>
          <w:rFonts w:cs="Arial"/>
        </w:rPr>
        <w:t xml:space="preserve">); and (b) a reliance letter in favor of GPC with respect to each applicable assessment, in each case of clauses (a) and (b), in form and substance reasonably acceptable to GPC; </w:t>
      </w:r>
    </w:p>
    <w:p w:rsidRPr="00AB38D8" w:rsidR="0029492C" w:rsidP="00B71D5E" w:rsidRDefault="5516FCBB" w14:paraId="0FBC2DD7" w14:textId="4C30D7DE">
      <w:pPr>
        <w:pStyle w:val="zGTC04"/>
        <w:rPr>
          <w:rFonts w:cs="Arial"/>
        </w:rPr>
      </w:pPr>
      <w:r>
        <w:rPr>
          <w:rFonts w:cs="Arial"/>
        </w:rPr>
        <w:t xml:space="preserve">payoff letters and other evidence of the satisfaction of all Indebtedness of Seller </w:t>
      </w:r>
      <w:r w:rsidR="0090318B">
        <w:rPr>
          <w:rFonts w:cs="Arial"/>
        </w:rPr>
        <w:t>before</w:t>
      </w:r>
      <w:r>
        <w:rPr>
          <w:rFonts w:cs="Arial"/>
        </w:rPr>
        <w:t xml:space="preserve"> or concurrent with the Closing and the termination of all Liens on the Facility Assets and other documents and agreements evidencing such Indebtedness effective on or </w:t>
      </w:r>
      <w:r w:rsidR="0090318B">
        <w:rPr>
          <w:rFonts w:cs="Arial"/>
        </w:rPr>
        <w:t>before</w:t>
      </w:r>
      <w:r>
        <w:rPr>
          <w:rFonts w:cs="Arial"/>
        </w:rPr>
        <w:t xml:space="preserve"> the Closing; and </w:t>
      </w:r>
    </w:p>
    <w:p w:rsidRPr="00AB38D8" w:rsidR="0029492C" w:rsidP="00B71D5E" w:rsidRDefault="0029492C" w14:paraId="41373AD7" w14:textId="77777777">
      <w:pPr>
        <w:pStyle w:val="zGTC04"/>
        <w:rPr>
          <w:rFonts w:cs="Arial"/>
        </w:rPr>
      </w:pPr>
      <w:r>
        <w:rPr>
          <w:rFonts w:cs="Arial"/>
        </w:rPr>
        <w:t>any other documents expressly required under this APA, in each case, to consummate the transactions contemplated by this APA.</w:t>
      </w:r>
    </w:p>
    <w:p w:rsidRPr="00AB38D8" w:rsidR="0029492C" w:rsidP="00B71D5E" w:rsidRDefault="00333F22" w14:paraId="7ED92A9C" w14:textId="1D1C065F">
      <w:pPr>
        <w:pStyle w:val="zGTC03"/>
        <w:rPr>
          <w:rFonts w:cs="Arial"/>
        </w:rPr>
      </w:pPr>
      <w:r>
        <w:rPr>
          <w:rFonts w:cs="Arial"/>
          <w:b/>
          <w:bCs/>
        </w:rPr>
        <w:t>Facility Permits.</w:t>
      </w:r>
      <w:r>
        <w:rPr>
          <w:rFonts w:cs="Arial"/>
        </w:rPr>
        <w:t xml:space="preserve"> All Facility Permits listed </w:t>
      </w:r>
      <w:r w:rsidR="001975BC">
        <w:rPr>
          <w:rFonts w:cs="Arial"/>
        </w:rPr>
        <w:t xml:space="preserve">on </w:t>
      </w:r>
      <w:r w:rsidR="003D29BD">
        <w:rPr>
          <w:rFonts w:cs="Arial"/>
        </w:rPr>
        <w:t>Schedule</w:t>
      </w:r>
      <w:r>
        <w:rPr>
          <w:rFonts w:cs="Arial"/>
        </w:rPr>
        <w:t xml:space="preserve"> 6.2.5</w:t>
      </w:r>
      <w:r w:rsidR="003D29BD">
        <w:rPr>
          <w:rFonts w:cs="Arial"/>
        </w:rPr>
        <w:t xml:space="preserve"> </w:t>
      </w:r>
      <w:r>
        <w:rPr>
          <w:rFonts w:cs="Arial"/>
        </w:rPr>
        <w:t xml:space="preserve">have been duly transferred to </w:t>
      </w:r>
      <w:proofErr w:type="gramStart"/>
      <w:r>
        <w:rPr>
          <w:rFonts w:cs="Arial"/>
        </w:rPr>
        <w:t>GPC, or</w:t>
      </w:r>
      <w:proofErr w:type="gramEnd"/>
      <w:r>
        <w:rPr>
          <w:rFonts w:cs="Arial"/>
        </w:rPr>
        <w:t xml:space="preserve"> reissued in the name of GPC in accordance with applicable </w:t>
      </w:r>
      <w:r>
        <w:t>law</w:t>
      </w:r>
      <w:r>
        <w:rPr>
          <w:rFonts w:cs="Arial"/>
        </w:rPr>
        <w:t>, and are valid and binding and in full force and effect.</w:t>
      </w:r>
    </w:p>
    <w:p w:rsidRPr="00AB38D8" w:rsidR="0029492C" w:rsidP="00B71D5E" w:rsidRDefault="00333F22" w14:paraId="6C44A113" w14:textId="5058B113">
      <w:pPr>
        <w:pStyle w:val="zGTC03"/>
        <w:rPr>
          <w:rFonts w:cs="Arial"/>
        </w:rPr>
      </w:pPr>
      <w:r>
        <w:rPr>
          <w:rFonts w:cs="Arial"/>
          <w:b/>
        </w:rPr>
        <w:t>Facility Contracts.</w:t>
      </w:r>
      <w:r>
        <w:rPr>
          <w:rFonts w:cs="Arial"/>
        </w:rPr>
        <w:t xml:space="preserve"> All Facility Contracts listed </w:t>
      </w:r>
      <w:r w:rsidR="001975BC">
        <w:rPr>
          <w:rFonts w:cs="Arial"/>
        </w:rPr>
        <w:t>on</w:t>
      </w:r>
      <w:r>
        <w:rPr>
          <w:rFonts w:cs="Arial"/>
        </w:rPr>
        <w:t xml:space="preserve"> </w:t>
      </w:r>
      <w:r w:rsidR="001975BC">
        <w:rPr>
          <w:rFonts w:cs="Arial"/>
        </w:rPr>
        <w:t>Schedule</w:t>
      </w:r>
      <w:r>
        <w:rPr>
          <w:rFonts w:cs="Arial"/>
        </w:rPr>
        <w:t xml:space="preserve"> 6.2.6 have been duly assigned to GPC as of Closing and are valid and binding and in full force and effect.</w:t>
      </w:r>
    </w:p>
    <w:p w:rsidRPr="00AB38D8" w:rsidR="0029492C" w:rsidP="00B71D5E" w:rsidRDefault="00375AE6" w14:paraId="1FE4403A" w14:textId="77777777">
      <w:pPr>
        <w:pStyle w:val="zGTC03"/>
        <w:rPr>
          <w:rFonts w:cs="Arial"/>
        </w:rPr>
      </w:pPr>
      <w:r>
        <w:rPr>
          <w:rFonts w:cs="Arial"/>
          <w:b/>
          <w:bCs/>
          <w:szCs w:val="20"/>
        </w:rPr>
        <w:t>Commission Certificate.</w:t>
      </w:r>
      <w:r>
        <w:rPr>
          <w:rFonts w:cs="Arial"/>
          <w:szCs w:val="20"/>
        </w:rPr>
        <w:t xml:space="preserve"> The Commission Certificate has been duly obtained on terms that do not constitute a Burdensome Condition and is in full force and effect.</w:t>
      </w:r>
    </w:p>
    <w:p w:rsidRPr="00AB38D8" w:rsidR="0029492C" w:rsidP="00B71D5E" w:rsidRDefault="0029492C" w14:paraId="1280C152" w14:textId="77777777">
      <w:pPr>
        <w:pStyle w:val="zGTC02"/>
        <w:rPr>
          <w:rFonts w:ascii="Arial" w:hAnsi="Arial" w:cs="Arial"/>
          <w:vanish/>
          <w:specVanish/>
        </w:rPr>
      </w:pPr>
      <w:bookmarkStart w:name="_Toc138350406" w:id="395"/>
      <w:bookmarkStart w:name="_Toc143607255" w:id="396"/>
      <w:bookmarkStart w:name="_Toc181639469" w:id="397"/>
      <w:bookmarkStart w:name="_Toc214644789" w:id="398"/>
      <w:r>
        <w:rPr>
          <w:rFonts w:ascii="Arial" w:hAnsi="Arial" w:cs="Arial"/>
        </w:rPr>
        <w:t xml:space="preserve">Conditions </w:t>
      </w:r>
      <w:proofErr w:type="gramStart"/>
      <w:r>
        <w:rPr>
          <w:rFonts w:ascii="Arial" w:hAnsi="Arial" w:cs="Arial"/>
        </w:rPr>
        <w:t>to</w:t>
      </w:r>
      <w:proofErr w:type="gramEnd"/>
      <w:r>
        <w:rPr>
          <w:rFonts w:ascii="Arial" w:hAnsi="Arial" w:cs="Arial"/>
        </w:rPr>
        <w:t xml:space="preserve"> Obligations of Seller.</w:t>
      </w:r>
      <w:bookmarkEnd w:id="395"/>
      <w:bookmarkEnd w:id="396"/>
      <w:bookmarkEnd w:id="397"/>
      <w:bookmarkEnd w:id="398"/>
    </w:p>
    <w:p w:rsidRPr="00AB38D8" w:rsidR="0029492C" w:rsidP="00B71D5E" w:rsidRDefault="0029492C" w14:paraId="70852EDE" w14:textId="679CF431">
      <w:pPr>
        <w:pStyle w:val="zGNormal"/>
        <w:spacing w:after="120"/>
      </w:pPr>
      <w:r>
        <w:t xml:space="preserve"> The obligations of Seller under this APA to consummate the transactions contemplated by this APA are subject to the satisfaction (or waiver by Seller) of each of the following conditions at or </w:t>
      </w:r>
      <w:r w:rsidR="0090318B">
        <w:t>before</w:t>
      </w:r>
      <w:r>
        <w:t xml:space="preserve"> the Closing:</w:t>
      </w:r>
    </w:p>
    <w:p w:rsidRPr="00AB38D8" w:rsidR="0029492C" w:rsidP="00B71D5E" w:rsidRDefault="0029492C" w14:paraId="4063F0D0" w14:textId="56F59F1F">
      <w:pPr>
        <w:pStyle w:val="zGTC03"/>
        <w:rPr>
          <w:rFonts w:cs="Arial"/>
        </w:rPr>
      </w:pPr>
      <w:r>
        <w:rPr>
          <w:rFonts w:cs="Arial"/>
          <w:b/>
          <w:bCs/>
        </w:rPr>
        <w:t>GPC’s Representations and Warranties.</w:t>
      </w:r>
      <w:r>
        <w:rPr>
          <w:rFonts w:cs="Arial"/>
        </w:rPr>
        <w:t xml:space="preserve"> The representations and warranties of GPC set forth in Part 4 (</w:t>
      </w:r>
      <w:r>
        <w:rPr>
          <w:rFonts w:cs="Arial"/>
          <w:i/>
          <w:iCs/>
        </w:rPr>
        <w:t>Representations and Warranties of GPC</w:t>
      </w:r>
      <w:r>
        <w:rPr>
          <w:rFonts w:cs="Arial"/>
        </w:rPr>
        <w:t>), disregarding any “materiality,” “GPC Material Adverse Effect,” or other similar qualifications</w:t>
      </w:r>
      <w:r w:rsidR="004070A0">
        <w:rPr>
          <w:rFonts w:cs="Arial"/>
        </w:rPr>
        <w:t xml:space="preserve"> in Part 4</w:t>
      </w:r>
      <w:r>
        <w:rPr>
          <w:rFonts w:cs="Arial"/>
        </w:rPr>
        <w:t>, are true and correct in all respects, in each case, on and as of the Closing Date with the same force and effect as though such representations and warranties were made on and as of the Closing Date (except to the extent that such representations and warranties expressly are made as of an earlier date, in which case, as of the applicable earlier date) except as would not, individually or in the aggregate, have a GPC Material Adverse Effect.</w:t>
      </w:r>
    </w:p>
    <w:p w:rsidRPr="00AB38D8" w:rsidR="0029492C" w:rsidP="00B71D5E" w:rsidRDefault="0029492C" w14:paraId="551A2045" w14:textId="3B346C2E">
      <w:pPr>
        <w:pStyle w:val="zGTC03"/>
        <w:rPr>
          <w:rFonts w:cs="Arial"/>
        </w:rPr>
      </w:pPr>
      <w:r>
        <w:rPr>
          <w:rFonts w:cs="Arial"/>
          <w:b/>
          <w:bCs/>
          <w:szCs w:val="20"/>
        </w:rPr>
        <w:t xml:space="preserve">Performance </w:t>
      </w:r>
      <w:r w:rsidR="0090318B">
        <w:rPr>
          <w:rFonts w:cs="Arial"/>
          <w:b/>
          <w:bCs/>
          <w:szCs w:val="20"/>
        </w:rPr>
        <w:t>Before</w:t>
      </w:r>
      <w:r>
        <w:rPr>
          <w:rFonts w:cs="Arial"/>
          <w:b/>
          <w:bCs/>
          <w:szCs w:val="20"/>
        </w:rPr>
        <w:t xml:space="preserve"> and at Closing.</w:t>
      </w:r>
      <w:r>
        <w:rPr>
          <w:rFonts w:cs="Arial"/>
          <w:szCs w:val="20"/>
        </w:rPr>
        <w:t xml:space="preserve"> Each of the covenants and agreements of GPC that are to be complied with or performed under this APA at or </w:t>
      </w:r>
      <w:r w:rsidR="0090318B">
        <w:rPr>
          <w:rFonts w:cs="Arial"/>
          <w:szCs w:val="20"/>
        </w:rPr>
        <w:t>before</w:t>
      </w:r>
      <w:r>
        <w:rPr>
          <w:rFonts w:cs="Arial"/>
          <w:szCs w:val="20"/>
        </w:rPr>
        <w:t xml:space="preserve"> the Closing have been complied with and performed in all material respects.</w:t>
      </w:r>
    </w:p>
    <w:p w:rsidRPr="00AB38D8" w:rsidR="0029492C" w:rsidP="00B71D5E" w:rsidRDefault="00801645" w14:paraId="6654E68F" w14:textId="77777777">
      <w:pPr>
        <w:pStyle w:val="zGTC03"/>
        <w:rPr>
          <w:rFonts w:cs="Arial"/>
        </w:rPr>
      </w:pPr>
      <w:r>
        <w:rPr>
          <w:rFonts w:cs="Arial"/>
          <w:b/>
        </w:rPr>
        <w:t>GPC Closing Deliveries</w:t>
      </w:r>
      <w:r>
        <w:rPr>
          <w:rFonts w:cs="Arial"/>
          <w:b/>
          <w:bCs/>
        </w:rPr>
        <w:t>.</w:t>
      </w:r>
      <w:r>
        <w:rPr>
          <w:rFonts w:cs="Arial"/>
        </w:rPr>
        <w:t xml:space="preserve"> GPC has delivered (or </w:t>
      </w:r>
      <w:proofErr w:type="gramStart"/>
      <w:r>
        <w:rPr>
          <w:rFonts w:cs="Arial"/>
        </w:rPr>
        <w:t>caused</w:t>
      </w:r>
      <w:proofErr w:type="gramEnd"/>
      <w:r>
        <w:rPr>
          <w:rFonts w:cs="Arial"/>
        </w:rPr>
        <w:t xml:space="preserve"> to be delivered) the following:</w:t>
      </w:r>
    </w:p>
    <w:p w:rsidRPr="00AB38D8" w:rsidR="0029492C" w:rsidP="00B71D5E" w:rsidRDefault="037738BA" w14:paraId="621DE093" w14:textId="77777777">
      <w:pPr>
        <w:pStyle w:val="zGTC04"/>
        <w:rPr>
          <w:rFonts w:cs="Arial"/>
        </w:rPr>
      </w:pPr>
      <w:r>
        <w:rPr>
          <w:rFonts w:cs="Arial"/>
        </w:rPr>
        <w:t xml:space="preserve">to Seller, the Closing Purchase Price in accordance with </w:t>
      </w:r>
      <w:r>
        <w:t>Section</w:t>
      </w:r>
      <w:r>
        <w:rPr>
          <w:rFonts w:cs="Arial"/>
        </w:rPr>
        <w:t xml:space="preserve"> 2.1.2 (</w:t>
      </w:r>
      <w:r>
        <w:rPr>
          <w:rFonts w:cs="Arial"/>
          <w:i/>
          <w:iCs/>
        </w:rPr>
        <w:t>Payment of Purchase Price; Closing Deliveries</w:t>
      </w:r>
      <w:proofErr w:type="gramStart"/>
      <w:r>
        <w:rPr>
          <w:rFonts w:cs="Arial"/>
        </w:rPr>
        <w:t>);</w:t>
      </w:r>
      <w:proofErr w:type="gramEnd"/>
    </w:p>
    <w:p w:rsidRPr="00AB38D8" w:rsidR="1D86BE0D" w:rsidP="617BFEDE" w:rsidRDefault="763EC0DE" w14:paraId="2F3D656F" w14:textId="77777777">
      <w:pPr>
        <w:pStyle w:val="zGTC04"/>
        <w:rPr>
          <w:rFonts w:cs="Arial"/>
        </w:rPr>
      </w:pPr>
      <w:r>
        <w:rPr>
          <w:rFonts w:cs="Arial"/>
        </w:rPr>
        <w:t>to the holders of outstanding Indebtedness as of the Closing, if any, by wire transfer of immediately available funds, the amount of money due and owing from Seller to such Persons in the amounts and in accordance with payment instructions set forth on the payoff letters delivered in accordance with Section 6.2.4 (</w:t>
      </w:r>
      <w:r>
        <w:rPr>
          <w:rFonts w:cs="Arial"/>
          <w:i/>
          <w:iCs/>
        </w:rPr>
        <w:t>Seller Closing Deliveries</w:t>
      </w:r>
      <w:proofErr w:type="gramStart"/>
      <w:r>
        <w:rPr>
          <w:rFonts w:cs="Arial"/>
        </w:rPr>
        <w:t>);</w:t>
      </w:r>
      <w:proofErr w:type="gramEnd"/>
    </w:p>
    <w:p w:rsidRPr="00AB38D8" w:rsidR="0029492C" w:rsidP="00B71D5E" w:rsidRDefault="78C0922B" w14:paraId="61691ABB" w14:textId="77777777">
      <w:pPr>
        <w:pStyle w:val="zGTC04"/>
        <w:rPr>
          <w:rFonts w:cs="Arial"/>
        </w:rPr>
      </w:pPr>
      <w:r>
        <w:rPr>
          <w:rFonts w:cs="Arial"/>
        </w:rPr>
        <w:t xml:space="preserve">to Seller, a counterpart of the Bill of Sale, duly executed by </w:t>
      </w:r>
      <w:proofErr w:type="gramStart"/>
      <w:r>
        <w:rPr>
          <w:rFonts w:cs="Arial"/>
        </w:rPr>
        <w:t>GPC;</w:t>
      </w:r>
      <w:proofErr w:type="gramEnd"/>
      <w:r>
        <w:rPr>
          <w:rFonts w:cs="Arial"/>
        </w:rPr>
        <w:t xml:space="preserve"> </w:t>
      </w:r>
    </w:p>
    <w:p w:rsidRPr="00AB38D8" w:rsidR="0029492C" w:rsidP="00B71D5E" w:rsidRDefault="72E9F212" w14:paraId="183355BF" w14:textId="77777777">
      <w:pPr>
        <w:pStyle w:val="zGTC04"/>
        <w:rPr>
          <w:rFonts w:cs="Arial"/>
        </w:rPr>
      </w:pPr>
      <w:r>
        <w:rPr>
          <w:rFonts w:cs="Arial"/>
        </w:rPr>
        <w:t xml:space="preserve">to Seller, a counterpart of the Assignment Agreement, duly executed by </w:t>
      </w:r>
      <w:proofErr w:type="gramStart"/>
      <w:r>
        <w:rPr>
          <w:rFonts w:cs="Arial"/>
        </w:rPr>
        <w:t>GPC;</w:t>
      </w:r>
      <w:proofErr w:type="gramEnd"/>
    </w:p>
    <w:p w:rsidRPr="00AB38D8" w:rsidR="0029492C" w:rsidP="00B71D5E" w:rsidRDefault="06BF47DF" w14:paraId="6ECCDB8A" w14:textId="20F42C18">
      <w:pPr>
        <w:pStyle w:val="zGTC04"/>
        <w:rPr>
          <w:rFonts w:cs="Arial"/>
        </w:rPr>
      </w:pPr>
      <w:r>
        <w:rPr>
          <w:rFonts w:cs="Arial"/>
        </w:rPr>
        <w:t xml:space="preserve">to Seller, a certificate, dated as of the Closing Date, duly executed by an officer of GPC certifying: (a) that the conditions described in </w:t>
      </w:r>
      <w:r>
        <w:t>Sections</w:t>
      </w:r>
      <w:r>
        <w:rPr>
          <w:rFonts w:cs="Arial"/>
        </w:rPr>
        <w:t xml:space="preserve"> 6.3.1 (</w:t>
      </w:r>
      <w:r>
        <w:rPr>
          <w:rFonts w:cs="Arial"/>
          <w:i/>
          <w:iCs/>
        </w:rPr>
        <w:t>GPC’s Representations and Warranties</w:t>
      </w:r>
      <w:r>
        <w:rPr>
          <w:rFonts w:cs="Arial"/>
        </w:rPr>
        <w:t>) and 6.3.2 (</w:t>
      </w:r>
      <w:r>
        <w:rPr>
          <w:rFonts w:cs="Arial"/>
          <w:i/>
        </w:rPr>
        <w:t xml:space="preserve">Performance </w:t>
      </w:r>
      <w:r w:rsidR="0090318B">
        <w:rPr>
          <w:rFonts w:cs="Arial"/>
          <w:i/>
        </w:rPr>
        <w:t xml:space="preserve">Before </w:t>
      </w:r>
      <w:r>
        <w:rPr>
          <w:rFonts w:cs="Arial"/>
          <w:i/>
        </w:rPr>
        <w:t>and at Closing</w:t>
      </w:r>
      <w:r>
        <w:rPr>
          <w:rFonts w:cs="Arial"/>
        </w:rPr>
        <w:t xml:space="preserve">) have been satisfied; (b) that true and </w:t>
      </w:r>
      <w:r>
        <w:rPr>
          <w:rFonts w:cs="Arial"/>
        </w:rPr>
        <w:lastRenderedPageBreak/>
        <w:t>complete copies of resolutions of GPC authorizing the consummation of the transactions contemplated by this APA are attached to the certificate, and that the resolutions were duly adopted, have not been rescinded or amended, and remain in full force and effect; and (c) as to the incumbency and signature of each Person executing documents on behalf of GPC or its Affiliates (“</w:t>
      </w:r>
      <w:r>
        <w:rPr>
          <w:rFonts w:cs="Arial"/>
          <w:b/>
        </w:rPr>
        <w:t>GPC Closing Certificate</w:t>
      </w:r>
      <w:r>
        <w:rPr>
          <w:rFonts w:cs="Arial"/>
        </w:rPr>
        <w:t>”);</w:t>
      </w:r>
    </w:p>
    <w:p w:rsidRPr="00B71D5E" w:rsidR="0029492C" w:rsidP="00B71D5E" w:rsidRDefault="68ABB97D" w14:paraId="440F1F37" w14:textId="77777777">
      <w:pPr>
        <w:pStyle w:val="zGTC04"/>
        <w:rPr>
          <w:rFonts w:cs="Arial"/>
        </w:rPr>
      </w:pPr>
      <w:r>
        <w:rPr>
          <w:rFonts w:cs="Arial"/>
        </w:rPr>
        <w:t xml:space="preserve">to Seller, </w:t>
      </w:r>
      <w:r>
        <w:rPr>
          <w:rFonts w:cs="Arial"/>
          <w:highlight w:val="yellow"/>
        </w:rPr>
        <w:t xml:space="preserve">[a counterpart of the [●], duly executed by </w:t>
      </w:r>
      <w:proofErr w:type="gramStart"/>
      <w:r>
        <w:rPr>
          <w:rFonts w:cs="Arial"/>
          <w:highlight w:val="yellow"/>
        </w:rPr>
        <w:t>GPC</w:t>
      </w:r>
      <w:r>
        <w:rPr>
          <w:rFonts w:cs="Arial"/>
        </w:rPr>
        <w:t>]</w:t>
      </w:r>
      <w:r>
        <w:rPr>
          <w:rFonts w:cs="Arial"/>
          <w:b/>
          <w:bCs/>
          <w:szCs w:val="20"/>
          <w:highlight w:val="cyan"/>
        </w:rPr>
        <w:t>[</w:t>
      </w:r>
      <w:proofErr w:type="gramEnd"/>
      <w:r>
        <w:rPr>
          <w:rFonts w:cs="Arial"/>
          <w:b/>
          <w:bCs/>
          <w:i/>
          <w:iCs/>
          <w:szCs w:val="20"/>
          <w:highlight w:val="cyan"/>
          <w:u w:val="single"/>
        </w:rPr>
        <w:t>Note to Bidders</w:t>
      </w:r>
      <w:r>
        <w:rPr>
          <w:rFonts w:cs="Arial"/>
          <w:b/>
          <w:bCs/>
          <w:i/>
          <w:iCs/>
          <w:szCs w:val="20"/>
          <w:highlight w:val="cyan"/>
        </w:rPr>
        <w:t xml:space="preserve">: To include any agreements Seller or its Affiliates will </w:t>
      </w:r>
      <w:proofErr w:type="gramStart"/>
      <w:r>
        <w:rPr>
          <w:rFonts w:cs="Arial"/>
          <w:b/>
          <w:bCs/>
          <w:i/>
          <w:iCs/>
          <w:szCs w:val="20"/>
          <w:highlight w:val="cyan"/>
        </w:rPr>
        <w:t>enter into</w:t>
      </w:r>
      <w:proofErr w:type="gramEnd"/>
      <w:r>
        <w:rPr>
          <w:rFonts w:cs="Arial"/>
          <w:b/>
          <w:bCs/>
          <w:i/>
          <w:iCs/>
          <w:szCs w:val="20"/>
          <w:highlight w:val="cyan"/>
        </w:rPr>
        <w:t xml:space="preserve"> to perform work or services after the Closing.</w:t>
      </w:r>
      <w:r>
        <w:rPr>
          <w:rFonts w:cs="Arial"/>
          <w:b/>
          <w:bCs/>
          <w:szCs w:val="20"/>
          <w:highlight w:val="cyan"/>
        </w:rPr>
        <w:t>]</w:t>
      </w:r>
      <w:r>
        <w:rPr>
          <w:rFonts w:cs="Arial"/>
        </w:rPr>
        <w:t xml:space="preserve"> and</w:t>
      </w:r>
    </w:p>
    <w:p w:rsidRPr="00B71D5E" w:rsidR="0029492C" w:rsidP="00B71D5E" w:rsidRDefault="0029492C" w14:paraId="132D51FB" w14:textId="77777777">
      <w:pPr>
        <w:pStyle w:val="zGTC04"/>
        <w:rPr>
          <w:rFonts w:cs="Arial"/>
        </w:rPr>
      </w:pPr>
      <w:r>
        <w:rPr>
          <w:rFonts w:cs="Arial"/>
        </w:rPr>
        <w:t>any other documents expressly required under this APA, in each case, to consummate the transactions contemplated by this APA.</w:t>
      </w:r>
    </w:p>
    <w:p w:rsidRPr="00B71D5E" w:rsidR="0029492C" w:rsidP="00B71D5E" w:rsidRDefault="0029492C" w14:paraId="4CAECB39" w14:textId="77777777">
      <w:pPr>
        <w:pStyle w:val="zGTC01"/>
        <w:spacing w:before="120"/>
        <w:rPr>
          <w:rFonts w:ascii="Arial" w:hAnsi="Arial"/>
        </w:rPr>
      </w:pPr>
      <w:bookmarkStart w:name="_Toc138350407" w:id="399"/>
      <w:bookmarkStart w:name="_Toc143607256" w:id="400"/>
      <w:bookmarkStart w:name="_Toc143607306" w:id="401"/>
      <w:bookmarkStart w:name="_Toc181639470" w:id="402"/>
      <w:bookmarkStart w:name="_Toc214644790" w:id="403"/>
      <w:r>
        <w:rPr>
          <w:rFonts w:ascii="Arial" w:hAnsi="Arial"/>
        </w:rPr>
        <w:t>Tax Matters</w:t>
      </w:r>
      <w:bookmarkEnd w:id="399"/>
      <w:bookmarkEnd w:id="400"/>
      <w:bookmarkEnd w:id="401"/>
      <w:bookmarkEnd w:id="402"/>
      <w:bookmarkEnd w:id="403"/>
      <w:r>
        <w:rPr>
          <w:rFonts w:ascii="Arial" w:hAnsi="Arial"/>
        </w:rPr>
        <w:t xml:space="preserve"> </w:t>
      </w:r>
    </w:p>
    <w:p w:rsidRPr="00B71D5E" w:rsidR="0029492C" w:rsidP="00B71D5E" w:rsidRDefault="0029492C" w14:paraId="68B716A8" w14:textId="77777777">
      <w:pPr>
        <w:pStyle w:val="zGTC02"/>
        <w:rPr>
          <w:rFonts w:ascii="Arial" w:hAnsi="Arial" w:cs="Arial"/>
          <w:vanish/>
          <w:specVanish/>
        </w:rPr>
      </w:pPr>
      <w:bookmarkStart w:name="_Toc138350408" w:id="404"/>
      <w:bookmarkStart w:name="_Toc143607257" w:id="405"/>
      <w:bookmarkStart w:name="_Toc181639471" w:id="406"/>
      <w:bookmarkStart w:name="_Toc214644791" w:id="407"/>
      <w:r>
        <w:rPr>
          <w:rFonts w:ascii="Arial" w:hAnsi="Arial" w:cs="Arial"/>
        </w:rPr>
        <w:t>Transfer Taxes.</w:t>
      </w:r>
      <w:bookmarkEnd w:id="404"/>
      <w:bookmarkEnd w:id="405"/>
      <w:bookmarkEnd w:id="406"/>
      <w:bookmarkEnd w:id="407"/>
    </w:p>
    <w:p w:rsidRPr="00B71D5E" w:rsidR="0029492C" w:rsidP="00B71D5E" w:rsidRDefault="0029492C" w14:paraId="52ED19C6" w14:textId="77777777">
      <w:pPr>
        <w:pStyle w:val="zGNormal"/>
        <w:spacing w:after="120"/>
      </w:pPr>
      <w:r>
        <w:t xml:space="preserve"> Seller will bear and timely pay all Transfer Taxes and prepare and file all Tax Returns and other documentation necessary with respect to all Transfer Taxes. The Parties to this APA will use their commercially reasonable efforts to cooperate with each other upon request in the preparation and execution of the Tax Returns and other documentation, and to take any available steps under applicable law to mitigate the amount of any Transfer Taxes.</w:t>
      </w:r>
    </w:p>
    <w:p w:rsidRPr="00AB38D8" w:rsidR="0029492C" w:rsidP="00B71D5E" w:rsidRDefault="0029492C" w14:paraId="6D02AC99" w14:textId="77777777">
      <w:pPr>
        <w:pStyle w:val="zGTC02"/>
        <w:rPr>
          <w:rFonts w:ascii="Arial" w:hAnsi="Arial" w:cs="Arial"/>
          <w:vanish/>
          <w:specVanish/>
        </w:rPr>
      </w:pPr>
      <w:bookmarkStart w:name="_Toc138350409" w:id="408"/>
      <w:bookmarkStart w:name="_Toc143607258" w:id="409"/>
      <w:bookmarkStart w:name="_Toc181639472" w:id="410"/>
      <w:bookmarkStart w:name="_Toc214644792" w:id="411"/>
      <w:r>
        <w:rPr>
          <w:rFonts w:ascii="Arial" w:hAnsi="Arial" w:cs="Arial"/>
        </w:rPr>
        <w:t>Seller Tax Indemnity.</w:t>
      </w:r>
      <w:bookmarkEnd w:id="408"/>
      <w:bookmarkEnd w:id="409"/>
      <w:bookmarkEnd w:id="410"/>
      <w:bookmarkEnd w:id="411"/>
    </w:p>
    <w:p w:rsidRPr="00AB38D8" w:rsidR="0029492C" w:rsidP="00B71D5E" w:rsidRDefault="0029492C" w14:paraId="1AA46A76" w14:textId="77777777">
      <w:pPr>
        <w:pStyle w:val="zGNormal"/>
        <w:spacing w:after="120"/>
      </w:pPr>
      <w:r>
        <w:t xml:space="preserve"> Seller will indemnify and hold GPC harmless from and against: (a) any Seller Income Taxes; (b) any Pre-Closing Taxes; and (c) any Transfer Taxes. The limitations of liability in Part 8 (</w:t>
      </w:r>
      <w:r>
        <w:rPr>
          <w:i/>
          <w:iCs/>
        </w:rPr>
        <w:t>Risk and Claims</w:t>
      </w:r>
      <w:r>
        <w:t>) will not apply with respect to any indemnification Claim under this Section 7.2 (</w:t>
      </w:r>
      <w:r>
        <w:rPr>
          <w:i/>
          <w:iCs/>
        </w:rPr>
        <w:t>Seller Tax Indemnity</w:t>
      </w:r>
      <w:r>
        <w:t>).</w:t>
      </w:r>
    </w:p>
    <w:p w:rsidRPr="00AB38D8" w:rsidR="0029492C" w:rsidP="00B71D5E" w:rsidRDefault="0029492C" w14:paraId="3094F487" w14:textId="77777777">
      <w:pPr>
        <w:pStyle w:val="zGTC02"/>
        <w:rPr>
          <w:rFonts w:ascii="Arial" w:hAnsi="Arial" w:cs="Arial"/>
          <w:vanish/>
          <w:specVanish/>
        </w:rPr>
      </w:pPr>
      <w:bookmarkStart w:name="_Toc138350410" w:id="412"/>
      <w:bookmarkStart w:name="_Toc143607259" w:id="413"/>
      <w:bookmarkStart w:name="_Toc181639473" w:id="414"/>
      <w:bookmarkStart w:name="_Toc214644793" w:id="415"/>
      <w:r>
        <w:rPr>
          <w:rFonts w:ascii="Arial" w:hAnsi="Arial" w:cs="Arial"/>
        </w:rPr>
        <w:t>Seller Tax Returns.</w:t>
      </w:r>
      <w:bookmarkEnd w:id="412"/>
      <w:bookmarkEnd w:id="413"/>
      <w:bookmarkEnd w:id="414"/>
      <w:bookmarkEnd w:id="415"/>
    </w:p>
    <w:p w:rsidRPr="00AB38D8" w:rsidR="0029492C" w:rsidP="00B71D5E" w:rsidRDefault="0029492C" w14:paraId="5D75B9B4" w14:textId="1F4DF4EB">
      <w:pPr>
        <w:pStyle w:val="zGNormal"/>
        <w:spacing w:after="120"/>
      </w:pPr>
      <w:r>
        <w:t xml:space="preserve"> For any Tax Returns that relate to a taxable period ending on or </w:t>
      </w:r>
      <w:r w:rsidR="0090318B">
        <w:t>before</w:t>
      </w:r>
      <w:r>
        <w:t xml:space="preserve"> the Closing Date, Seller will timely prepare and file, or will cause to be timely prepared and filed, with the appropriate authorities, all Tax Returns required to be filed with respect to the Facility and the Facility Assets; and all Tax Returns must correctly and accurately set forth the amount of any Taxes relating to the applicable Tax period and Seller must pay within the time and manner prescribed by law all Taxes due and payable with respect to the applicable Tax period.</w:t>
      </w:r>
    </w:p>
    <w:p w:rsidRPr="00AB38D8" w:rsidR="0029492C" w:rsidP="00B71D5E" w:rsidRDefault="0029492C" w14:paraId="0862265B" w14:textId="77777777">
      <w:pPr>
        <w:pStyle w:val="zGTC02"/>
        <w:rPr>
          <w:rFonts w:ascii="Arial" w:hAnsi="Arial" w:cs="Arial"/>
          <w:vanish/>
          <w:specVanish/>
        </w:rPr>
      </w:pPr>
      <w:bookmarkStart w:name="_Toc138350411" w:id="416"/>
      <w:bookmarkStart w:name="_Toc143607260" w:id="417"/>
      <w:bookmarkStart w:name="_Toc181639474" w:id="418"/>
      <w:bookmarkStart w:name="_Toc214644794" w:id="419"/>
      <w:r>
        <w:rPr>
          <w:rFonts w:ascii="Arial" w:hAnsi="Arial" w:cs="Arial"/>
        </w:rPr>
        <w:t>Tax Contests.</w:t>
      </w:r>
      <w:bookmarkEnd w:id="416"/>
      <w:bookmarkEnd w:id="417"/>
      <w:bookmarkEnd w:id="418"/>
      <w:bookmarkEnd w:id="419"/>
    </w:p>
    <w:p w:rsidRPr="00CB559C" w:rsidR="0029492C" w:rsidP="00B71D5E" w:rsidRDefault="0029492C" w14:paraId="38661D1E" w14:textId="77777777">
      <w:pPr>
        <w:pStyle w:val="zGNormal"/>
        <w:spacing w:after="120"/>
      </w:pPr>
      <w:r>
        <w:t xml:space="preserve"> Despite any other provision in this APA to the contrary, as between GPC and Seller, GPC, in its sole discretion, will have exclusive control of: (i) any income Tax audit, litigation, or other proceeding of or against GPC (or any affiliated, combined, consolidated, or unitary group of GPC is a member); and (ii) any Tax audit, litigation, or other proceeding with respect to the Facility or the Facility Assets </w:t>
      </w:r>
      <w:r>
        <w:rPr>
          <w:rFonts w:eastAsia="Times New Roman"/>
        </w:rPr>
        <w:t>except solely to the extent the audit, litigation, or other proceeding involves a claim for which Seller must provide indemnity under Section 7.2 (</w:t>
      </w:r>
      <w:r>
        <w:rPr>
          <w:rFonts w:eastAsia="Times New Roman"/>
          <w:i/>
        </w:rPr>
        <w:t>Seller Tax Indemnity</w:t>
      </w:r>
      <w:r>
        <w:rPr>
          <w:rFonts w:eastAsia="Times New Roman"/>
        </w:rPr>
        <w:t>).</w:t>
      </w:r>
      <w:r>
        <w:t xml:space="preserve"> </w:t>
      </w:r>
      <w:r>
        <w:rPr>
          <w:rFonts w:eastAsia="Times New Roman"/>
        </w:rPr>
        <w:t>However, Seller must keep GPC reasonably apprised of the developments of the audit, litigation, or proceeding and must not settle or compromise any asserted Liability that would adversely affect GPC’s ability to claim any Tax credit or Tax Benefit without the prior written consent of GPC</w:t>
      </w:r>
      <w:r>
        <w:t>.</w:t>
      </w:r>
    </w:p>
    <w:p w:rsidRPr="00AB38D8" w:rsidR="0029492C" w:rsidP="00B71D5E" w:rsidRDefault="0029492C" w14:paraId="4077DA3F" w14:textId="77777777">
      <w:pPr>
        <w:pStyle w:val="zGTC02"/>
        <w:rPr>
          <w:rFonts w:ascii="Arial" w:hAnsi="Arial" w:cs="Arial"/>
          <w:vanish/>
          <w:specVanish/>
        </w:rPr>
      </w:pPr>
      <w:bookmarkStart w:name="_Toc138350412" w:id="420"/>
      <w:bookmarkStart w:name="_Toc143607261" w:id="421"/>
      <w:bookmarkStart w:name="_Toc181639475" w:id="422"/>
      <w:bookmarkStart w:name="_Toc214644795" w:id="423"/>
      <w:r>
        <w:rPr>
          <w:rFonts w:ascii="Arial" w:hAnsi="Arial" w:cs="Arial"/>
        </w:rPr>
        <w:t>Assistance and Cooperation.</w:t>
      </w:r>
      <w:bookmarkEnd w:id="420"/>
      <w:bookmarkEnd w:id="421"/>
      <w:bookmarkEnd w:id="422"/>
      <w:bookmarkEnd w:id="423"/>
    </w:p>
    <w:p w:rsidRPr="00AB38D8" w:rsidR="0029492C" w:rsidP="00B71D5E" w:rsidRDefault="0029492C" w14:paraId="50FC6E44" w14:textId="77777777">
      <w:pPr>
        <w:pStyle w:val="zGNormal"/>
        <w:spacing w:after="120"/>
      </w:pPr>
      <w:r>
        <w:t xml:space="preserve"> GPC and Seller will provide each other with </w:t>
      </w:r>
      <w:proofErr w:type="gramStart"/>
      <w:r>
        <w:t>the assistance</w:t>
      </w:r>
      <w:proofErr w:type="gramEnd"/>
      <w:r>
        <w:t xml:space="preserve"> and cooperation as may reasonably be requested by the other Party in connection with the preparation of any Tax Return, any audit or other examination by any Taxing Authority, or any judicial or administrative proceedings relating to Liability for Taxes. Such assistance and cooperation will include the retention and (upon the other Party’s request) the provision of records and information that are reasonably relevant to any audit, litigation, or other proceeding and making employees available on a mutually convenient basis to provide additional information and explanation of any material provided under this APA. Each Party will retain and provide the requesting Party with any records or information until the expiration of the statute of limitations (and, to the extent notified by the other Party, any extensions thereof) of the respective taxable periods which may be relevant to the Tax Return, audit or examination, proceedings, or determination.</w:t>
      </w:r>
    </w:p>
    <w:p w:rsidRPr="00AB38D8" w:rsidR="0029492C" w:rsidP="00B71D5E" w:rsidRDefault="0029492C" w14:paraId="7F1EF633" w14:textId="77777777">
      <w:pPr>
        <w:pStyle w:val="zGTC02"/>
        <w:rPr>
          <w:rFonts w:ascii="Arial" w:hAnsi="Arial" w:cs="Arial"/>
          <w:vanish/>
          <w:specVanish/>
        </w:rPr>
      </w:pPr>
      <w:bookmarkStart w:name="_Toc138350413" w:id="424"/>
      <w:bookmarkStart w:name="_Toc143607262" w:id="425"/>
      <w:bookmarkStart w:name="_Toc181639476" w:id="426"/>
      <w:bookmarkStart w:name="_Toc214644796" w:id="427"/>
      <w:r>
        <w:rPr>
          <w:rFonts w:ascii="Arial" w:hAnsi="Arial" w:cs="Arial"/>
        </w:rPr>
        <w:t>Allocation of Taxes.</w:t>
      </w:r>
      <w:bookmarkEnd w:id="424"/>
      <w:bookmarkEnd w:id="425"/>
      <w:bookmarkEnd w:id="426"/>
      <w:bookmarkEnd w:id="427"/>
    </w:p>
    <w:p w:rsidRPr="00B71D5E" w:rsidR="0029492C" w:rsidP="00B71D5E" w:rsidRDefault="0029492C" w14:paraId="61D7F803" w14:textId="77777777">
      <w:pPr>
        <w:pStyle w:val="zGNormal"/>
        <w:spacing w:after="120"/>
      </w:pPr>
      <w:r>
        <w:t xml:space="preserve"> For purposes of determining the amount of Taxes with respect to the Facility attributable to the portion of the Straddle Period ending on the Closing Date, any Liability for Taxes attributable to a Straddle Period will be apportioned between the portion of the period ending on the Closing Date and the portion of the period beginning on the day after the Closing Date: (i) in the case of real and personal property Taxes, by apportioning the Taxes on a per diem basis; and (ii) in the case of all other Taxes, on the basis of a closing of the books as of the close of business on the Closing Date, as described in Section 7.2 (</w:t>
      </w:r>
      <w:r>
        <w:rPr>
          <w:i/>
          <w:iCs/>
        </w:rPr>
        <w:t>Seller Tax Indemnity</w:t>
      </w:r>
      <w:r>
        <w:t>).</w:t>
      </w:r>
    </w:p>
    <w:p w:rsidRPr="00E91E93" w:rsidR="000E6138" w:rsidP="000E6138" w:rsidRDefault="00874B7B" w14:paraId="3552841A" w14:textId="77777777">
      <w:pPr>
        <w:pStyle w:val="zGTC02"/>
        <w:rPr>
          <w:rFonts w:ascii="Arial" w:hAnsi="Arial" w:cs="Arial"/>
          <w:vanish/>
          <w:specVanish/>
        </w:rPr>
      </w:pPr>
      <w:bookmarkStart w:name="_Toc138430823" w:id="428"/>
      <w:bookmarkStart w:name="_Toc143607263" w:id="429"/>
      <w:bookmarkStart w:name="_Toc181639477" w:id="430"/>
      <w:bookmarkStart w:name="_Toc214644797" w:id="431"/>
      <w:bookmarkStart w:name="_Toc138350415" w:id="432"/>
      <w:r>
        <w:rPr>
          <w:rFonts w:ascii="Arial" w:hAnsi="Arial" w:cs="Arial"/>
        </w:rPr>
        <w:t>Tax Benefits.</w:t>
      </w:r>
      <w:bookmarkEnd w:id="428"/>
      <w:bookmarkEnd w:id="429"/>
      <w:bookmarkEnd w:id="430"/>
      <w:bookmarkEnd w:id="431"/>
    </w:p>
    <w:p w:rsidRPr="00B71D5E" w:rsidR="00D96F67" w:rsidP="00D96F67" w:rsidRDefault="000E6138" w14:paraId="39A29A55" w14:textId="77777777">
      <w:pPr>
        <w:pStyle w:val="zGNormal"/>
        <w:spacing w:after="120"/>
      </w:pPr>
      <w:r>
        <w:t xml:space="preserve"> Neither Seller nor any Affiliate of Seller will engage in any action or fail to take any action that would be reasonably likely to jeopardize the realization by or allowance to GPC or any of its Affiliates of any Tax Benefits or the eligibility of the Facility (or any property that is part of the Facility) for any other Tax Benefit.</w:t>
      </w:r>
      <w:r>
        <w:rPr>
          <w:b/>
          <w:bCs/>
        </w:rPr>
        <w:t xml:space="preserve"> </w:t>
      </w:r>
      <w:r>
        <w:rPr>
          <w:highlight w:val="cyan"/>
        </w:rPr>
        <w:t>[</w:t>
      </w:r>
      <w:r>
        <w:rPr>
          <w:b/>
          <w:i/>
          <w:highlight w:val="cyan"/>
          <w:u w:val="single"/>
        </w:rPr>
        <w:t>Note to Bidders</w:t>
      </w:r>
      <w:r>
        <w:rPr>
          <w:b/>
          <w:i/>
          <w:highlight w:val="cyan"/>
        </w:rPr>
        <w:t>: This provision to be deleted and replaced with “Reserved” to the extent not applicable.</w:t>
      </w:r>
      <w:r>
        <w:rPr>
          <w:highlight w:val="cyan"/>
        </w:rPr>
        <w:t>]</w:t>
      </w:r>
    </w:p>
    <w:p w:rsidRPr="00E91E93" w:rsidR="00CE77C3" w:rsidP="00EC532C" w:rsidRDefault="00874B7B" w14:paraId="73CF7899" w14:textId="77777777">
      <w:pPr>
        <w:pStyle w:val="zGTC02"/>
        <w:numPr>
          <w:ilvl w:val="1"/>
          <w:numId w:val="19"/>
        </w:numPr>
        <w:rPr>
          <w:rFonts w:ascii="Arial" w:hAnsi="Arial" w:cs="Arial"/>
          <w:vanish/>
          <w:specVanish/>
        </w:rPr>
      </w:pPr>
      <w:bookmarkStart w:name="_Toc143607264" w:id="433"/>
      <w:bookmarkStart w:name="_Toc181639478" w:id="434"/>
      <w:bookmarkStart w:name="_Toc214644798" w:id="435"/>
      <w:r>
        <w:rPr>
          <w:rFonts w:ascii="Arial" w:hAnsi="Arial" w:cs="Arial"/>
        </w:rPr>
        <w:lastRenderedPageBreak/>
        <w:t>Prevailing Wage and Apprenticeship.</w:t>
      </w:r>
      <w:bookmarkEnd w:id="433"/>
      <w:bookmarkEnd w:id="434"/>
      <w:bookmarkEnd w:id="435"/>
    </w:p>
    <w:p w:rsidRPr="00CE77C3" w:rsidR="00874B7B" w:rsidP="00CE77C3" w:rsidRDefault="00317DFA" w14:paraId="79527080" w14:textId="77777777">
      <w:pPr>
        <w:pStyle w:val="zGNormal6"/>
        <w:rPr>
          <w:specVanish/>
        </w:rPr>
      </w:pPr>
      <w:r>
        <w:t xml:space="preserve"> </w:t>
      </w:r>
      <w:r w:rsidRPr="000653FC">
        <w:rPr>
          <w:highlight w:val="yellow"/>
        </w:rPr>
        <w:t>#AddPrevailingWageandApprenticeshipRequirements</w:t>
      </w:r>
      <w:r>
        <w:t>.</w:t>
      </w:r>
      <w:r>
        <w:rPr>
          <w:highlight w:val="cyan"/>
        </w:rPr>
        <w:t>[</w:t>
      </w:r>
      <w:r>
        <w:rPr>
          <w:b/>
          <w:bCs/>
          <w:i/>
          <w:iCs/>
          <w:highlight w:val="cyan"/>
          <w:u w:val="single"/>
        </w:rPr>
        <w:t>Note to Bidders</w:t>
      </w:r>
      <w:r>
        <w:rPr>
          <w:b/>
          <w:bCs/>
          <w:i/>
          <w:iCs/>
          <w:highlight w:val="cyan"/>
        </w:rPr>
        <w:t>: Prevailing Wage &amp; Apprenticeship requirements may be added for applicable Facilities.</w:t>
      </w:r>
      <w:r>
        <w:rPr>
          <w:highlight w:val="cyan"/>
        </w:rPr>
        <w:t>]</w:t>
      </w:r>
    </w:p>
    <w:p w:rsidRPr="00E91E93" w:rsidR="00874B7B" w:rsidP="00B71D5E" w:rsidRDefault="00874B7B" w14:paraId="6AB2E67E" w14:textId="77777777">
      <w:pPr>
        <w:pStyle w:val="zGTC02"/>
        <w:rPr>
          <w:rFonts w:ascii="Arial" w:hAnsi="Arial" w:cs="Arial"/>
          <w:vanish/>
          <w:specVanish/>
        </w:rPr>
      </w:pPr>
      <w:bookmarkStart w:name="_Toc143607265" w:id="436"/>
      <w:bookmarkStart w:name="_Toc181639479" w:id="437"/>
      <w:bookmarkStart w:name="_Toc214644799" w:id="438"/>
      <w:r>
        <w:rPr>
          <w:rFonts w:ascii="Arial" w:hAnsi="Arial" w:cs="Arial"/>
        </w:rPr>
        <w:t>Recordkeeping Requirements.</w:t>
      </w:r>
      <w:bookmarkEnd w:id="436"/>
      <w:bookmarkEnd w:id="437"/>
      <w:bookmarkEnd w:id="438"/>
    </w:p>
    <w:p w:rsidRPr="00B71D5E" w:rsidR="00874B7B" w:rsidP="00B71D5E" w:rsidRDefault="00874B7B" w14:paraId="6C4163AF" w14:textId="53461F74">
      <w:pPr>
        <w:pStyle w:val="zGNormal"/>
        <w:spacing w:after="120"/>
      </w:pPr>
      <w:r>
        <w:t xml:space="preserve"> Seller must maintain and preserve, and must cause its contractors and subcontractors to maintain and preserve, sufficient records, including books of account or records for work performed by Seller, its contractors, or its subcontractors to establish that the PWA Requirements have been satisfied (or deemed satisfied), in each case in accordance with the general recordkeeping requirements under Code section 6001 and section 1.6001-1 et seq. of the Treasury Regulations. Such records must include: (i) the identification of the laborers and mechanics who performed construction, alteration, or repair work on the Facility; (ii) the determination of the prevailing wage applicable to each such laborer and mechanic; (iii) the classification of work each such laborer and mechanic performed; (iv) the hours worked in each classification; (v) the wage rates paid for the work; (vi) the number of hours of work performed by apprentices; (vii) the applicable apprentice to </w:t>
      </w:r>
      <w:proofErr w:type="spellStart"/>
      <w:r>
        <w:t>journeyworker</w:t>
      </w:r>
      <w:proofErr w:type="spellEnd"/>
      <w:r>
        <w:t xml:space="preserve"> ratios; (viii) emails to and from Governmental Authorities; (ix) computer screenshots and exports from </w:t>
      </w:r>
      <w:hyperlink w:history="1" r:id="rId21">
        <w:r>
          <w:rPr>
            <w:rStyle w:val="Hyperlink"/>
            <w:bCs/>
            <w:color w:val="auto"/>
            <w:sz w:val="20"/>
            <w:u w:val="none"/>
          </w:rPr>
          <w:t>www.sam.gov</w:t>
        </w:r>
      </w:hyperlink>
      <w:r>
        <w:rPr>
          <w:bCs/>
        </w:rPr>
        <w:t>; (x)</w:t>
      </w:r>
      <w:r>
        <w:t xml:space="preserve"> Deemed PWA Compliance documentation; (xi) Good Faith Effort documentation; and (xii) copies of certified payroll and U.S. Department of Labor Wage Hour Form WH-347, true and correct copies of which will be provided to GPC at Closing and thereafter at GPC’s request. Such records must be maintained for at least 10 years following Closing. Seller agrees to notify, and to cause its contractors and subcontractors to notify, GPC at least 45 Business Days in advance of discarding or destroying any such information to provide </w:t>
      </w:r>
      <w:proofErr w:type="gramStart"/>
      <w:r>
        <w:t>GPC</w:t>
      </w:r>
      <w:proofErr w:type="gramEnd"/>
      <w:r>
        <w:t xml:space="preserve"> the opportunity to copy or otherwise take possession of the information. </w:t>
      </w:r>
      <w:r>
        <w:rPr>
          <w:highlight w:val="cyan"/>
        </w:rPr>
        <w:t>[</w:t>
      </w:r>
      <w:r>
        <w:rPr>
          <w:b/>
          <w:i/>
          <w:highlight w:val="cyan"/>
          <w:u w:val="single"/>
        </w:rPr>
        <w:t>Note to Bidders</w:t>
      </w:r>
      <w:r>
        <w:rPr>
          <w:b/>
          <w:i/>
          <w:highlight w:val="cyan"/>
        </w:rPr>
        <w:t>: This provision to be deleted and replaced with “Reserved” to the extent not applicable.</w:t>
      </w:r>
      <w:r>
        <w:rPr>
          <w:highlight w:val="cyan"/>
        </w:rPr>
        <w:t>]</w:t>
      </w:r>
    </w:p>
    <w:p w:rsidRPr="00B71D5E" w:rsidR="0029492C" w:rsidP="00B71D5E" w:rsidRDefault="00444673" w14:paraId="239A30B4" w14:textId="77777777">
      <w:pPr>
        <w:pStyle w:val="zGTC01"/>
        <w:spacing w:before="120"/>
        <w:rPr>
          <w:rFonts w:ascii="Arial" w:hAnsi="Arial"/>
        </w:rPr>
      </w:pPr>
      <w:bookmarkStart w:name="_Toc143607266" w:id="439"/>
      <w:bookmarkStart w:name="_Toc143607307" w:id="440"/>
      <w:bookmarkStart w:name="_Toc181639480" w:id="441"/>
      <w:bookmarkStart w:name="_Toc214644800" w:id="442"/>
      <w:r>
        <w:rPr>
          <w:rFonts w:ascii="Arial" w:hAnsi="Arial"/>
        </w:rPr>
        <w:t>Risk and Claims</w:t>
      </w:r>
      <w:bookmarkEnd w:id="432"/>
      <w:bookmarkEnd w:id="439"/>
      <w:bookmarkEnd w:id="440"/>
      <w:bookmarkEnd w:id="441"/>
      <w:bookmarkEnd w:id="442"/>
    </w:p>
    <w:p w:rsidRPr="00B71D5E" w:rsidR="0029492C" w:rsidP="00B71D5E" w:rsidRDefault="0029492C" w14:paraId="6D4B343E" w14:textId="77777777">
      <w:pPr>
        <w:pStyle w:val="zGTC02"/>
        <w:rPr>
          <w:rFonts w:ascii="Arial" w:hAnsi="Arial" w:cs="Arial"/>
          <w:vanish/>
          <w:specVanish/>
        </w:rPr>
      </w:pPr>
      <w:bookmarkStart w:name="_Toc138350416" w:id="443"/>
      <w:bookmarkStart w:name="_Toc143607267" w:id="444"/>
      <w:bookmarkStart w:name="_Toc181639481" w:id="445"/>
      <w:bookmarkStart w:name="_Toc214644801" w:id="446"/>
      <w:r>
        <w:rPr>
          <w:rFonts w:ascii="Arial" w:hAnsi="Arial" w:cs="Arial"/>
        </w:rPr>
        <w:t>Survival.</w:t>
      </w:r>
      <w:bookmarkEnd w:id="443"/>
      <w:bookmarkEnd w:id="444"/>
      <w:bookmarkEnd w:id="445"/>
      <w:bookmarkEnd w:id="446"/>
    </w:p>
    <w:p w:rsidRPr="00AB38D8" w:rsidR="0029492C" w:rsidP="00B71D5E" w:rsidRDefault="0029492C" w14:paraId="792019F8" w14:textId="2400F7F0">
      <w:pPr>
        <w:pStyle w:val="zGNormal"/>
        <w:spacing w:after="120"/>
      </w:pPr>
      <w:r>
        <w:t xml:space="preserve"> All representations and warranties made by Seller or GPC in this APA will survive the Closing for a period of 24 months after the Effective Date, except that the Seller Fundamental Representations and the GPC Fundamental Representations will survive until 60 days after the expiration of the applicable statutes of limitations (giving effect to any extensions or waivers thereof). The covenants and agreements of the Parties contained in this APA to be performed by their terms at or </w:t>
      </w:r>
      <w:r w:rsidR="0090318B">
        <w:t>before</w:t>
      </w:r>
      <w:r>
        <w:t xml:space="preserve"> the Closing will survive the Closing for a period of 24 months after the Closing Date, and the covenants and agreements of the Parties contained in this APA to be performed by their terms after the Closing will survive the Closing until fully performed in accordance with their terms. However, the covenants set forth in </w:t>
      </w:r>
      <w:r w:rsidR="00ED174F">
        <w:t>Part 1</w:t>
      </w:r>
      <w:r>
        <w:t xml:space="preserve"> (</w:t>
      </w:r>
      <w:r>
        <w:rPr>
          <w:i/>
          <w:iCs/>
        </w:rPr>
        <w:t>Purchase and Sale</w:t>
      </w:r>
      <w:r>
        <w:t>) and 5.4 (</w:t>
      </w:r>
      <w:r>
        <w:rPr>
          <w:i/>
          <w:iCs/>
        </w:rPr>
        <w:t>Termination of Intercompany Obligations and Affiliate Arrangements</w:t>
      </w:r>
      <w:r>
        <w:t xml:space="preserve">) will survive the Closing until 60 days after the expiration of the applicable statutes of limitations (giving effect to any extensions or waivers thereof). </w:t>
      </w:r>
      <w:bookmarkStart w:name="_Hlk139898686" w:id="447"/>
      <w:r>
        <w:t xml:space="preserve">The indemnities covered by Section 8.3(iv) </w:t>
      </w:r>
      <w:bookmarkEnd w:id="447"/>
      <w:r>
        <w:t>(</w:t>
      </w:r>
      <w:r>
        <w:rPr>
          <w:i/>
          <w:iCs/>
        </w:rPr>
        <w:t>Indemnification by Seller</w:t>
      </w:r>
      <w:r>
        <w:t>) will survive the Closing until 60 days after the expiration of the applicable statutes of limitations underlying the claim giving rise to the indemnity (giving effect to any extensions or waivers of the applicable statutes of limitations). All representations, warranties, covenants, and agreements will survive beyond the period specified in this Section 8.1 (</w:t>
      </w:r>
      <w:r>
        <w:rPr>
          <w:i/>
          <w:iCs/>
        </w:rPr>
        <w:t>Survival</w:t>
      </w:r>
      <w:r>
        <w:t>) with respect to any inaccuracy or breach thereof, if notice of the inaccuracy or breach has been duly given within the applicable period in accordance with Section 8.5 (</w:t>
      </w:r>
      <w:r>
        <w:rPr>
          <w:i/>
          <w:iCs/>
        </w:rPr>
        <w:t>Notice of Proceeding</w:t>
      </w:r>
      <w:r>
        <w:t xml:space="preserve">) but only to the extent, and for the time period, necessary to resolve any Claim for indemnification arising from an asserted inaccuracy in or breach of the applicable representation or warranty or breach of the applicable covenant or agreement. </w:t>
      </w:r>
    </w:p>
    <w:p w:rsidRPr="00AB38D8" w:rsidR="00444673" w:rsidP="00B71D5E" w:rsidRDefault="00444673" w14:paraId="5F912B37" w14:textId="77777777">
      <w:pPr>
        <w:pStyle w:val="zGTC02"/>
        <w:rPr>
          <w:rFonts w:ascii="Arial" w:hAnsi="Arial" w:cs="Arial"/>
          <w:vanish/>
          <w:specVanish/>
        </w:rPr>
      </w:pPr>
      <w:bookmarkStart w:name="_Toc143615312" w:id="448"/>
      <w:bookmarkStart w:name="_Toc181639482" w:id="449"/>
      <w:bookmarkStart w:name="_Toc214644802" w:id="450"/>
      <w:bookmarkStart w:name="_Toc138350417" w:id="451"/>
      <w:bookmarkStart w:name="_Toc143607268" w:id="452"/>
      <w:r>
        <w:rPr>
          <w:rFonts w:ascii="Arial" w:hAnsi="Arial" w:cs="Arial"/>
        </w:rPr>
        <w:t>Liability for the Facility.</w:t>
      </w:r>
      <w:bookmarkEnd w:id="448"/>
      <w:bookmarkEnd w:id="449"/>
      <w:bookmarkEnd w:id="450"/>
    </w:p>
    <w:p w:rsidRPr="00AB38D8" w:rsidR="00444673" w:rsidP="00B71D5E" w:rsidRDefault="00444673" w14:paraId="5F33BB04" w14:textId="76B8C073">
      <w:pPr>
        <w:pStyle w:val="zGNormal"/>
        <w:spacing w:after="120"/>
      </w:pPr>
      <w:r>
        <w:t xml:space="preserve"> </w:t>
      </w:r>
      <w:r w:rsidR="0090318B">
        <w:t>Before</w:t>
      </w:r>
      <w:r>
        <w:t xml:space="preserve"> the Closing Date, as between the Parties, Seller retains all liability and risk regarding the Facility and the Facility Real Property. GPC: (i) assumes no duty, responsibility, obligation, or liability regarding the Facility or the Facility Real Property or the condition or operation of the Facility or Facility Real Property; (ii) is not liable for injury or damage associated with the Facility (including its operation, maintenance, repair, or replacement) or the Facility Real Property; and (iii) is not responsible for transmission, distribution, or control of electric energy within the Facility or at the Facility Real Property. </w:t>
      </w:r>
      <w:r>
        <w:rPr>
          <w:b/>
          <w:bCs/>
          <w:u w:val="single"/>
        </w:rPr>
        <w:t xml:space="preserve">Without limiting the generality of the previous sentence, </w:t>
      </w:r>
      <w:r>
        <w:rPr>
          <w:b/>
          <w:u w:val="single"/>
        </w:rPr>
        <w:t xml:space="preserve">GPC is not responsible for physical damage to, or destruction </w:t>
      </w:r>
      <w:r w:rsidR="00DC1007">
        <w:rPr>
          <w:b/>
          <w:u w:val="single"/>
        </w:rPr>
        <w:t xml:space="preserve">or degradation </w:t>
      </w:r>
      <w:r>
        <w:rPr>
          <w:b/>
          <w:u w:val="single"/>
        </w:rPr>
        <w:t>of, Seller’s property, and Seller will not seek recovery from GPC for property damage</w:t>
      </w:r>
      <w:r w:rsidR="00D15D27">
        <w:rPr>
          <w:b/>
          <w:u w:val="single"/>
        </w:rPr>
        <w:t xml:space="preserve"> (</w:t>
      </w:r>
      <w:r w:rsidR="0095680B">
        <w:rPr>
          <w:b/>
          <w:u w:val="single"/>
        </w:rPr>
        <w:t>including loss of use or electric service outage)</w:t>
      </w:r>
      <w:r>
        <w:rPr>
          <w:b/>
          <w:u w:val="single"/>
        </w:rPr>
        <w:t>, except in the case of the sole negligence or intentional wrongdoing by GPC</w:t>
      </w:r>
      <w:r w:rsidR="007F108A">
        <w:rPr>
          <w:b/>
          <w:u w:val="single"/>
        </w:rPr>
        <w:t xml:space="preserve"> </w:t>
      </w:r>
      <w:r w:rsidR="007F108A">
        <w:rPr>
          <w:b/>
          <w:bCs/>
          <w:u w:val="single"/>
        </w:rPr>
        <w:t xml:space="preserve">or Persons acting on behalf of GPC and </w:t>
      </w:r>
      <w:r w:rsidRPr="008F15DC" w:rsidR="007F108A">
        <w:rPr>
          <w:b/>
          <w:bCs/>
          <w:u w:val="single"/>
        </w:rPr>
        <w:t>for whom GPC is otherwise responsible</w:t>
      </w:r>
      <w:r w:rsidRPr="008F15DC">
        <w:rPr>
          <w:b/>
          <w:bCs/>
        </w:rPr>
        <w:t>.</w:t>
      </w:r>
      <w:r w:rsidRPr="008F15DC" w:rsidR="008F15DC">
        <w:rPr>
          <w:b/>
          <w:bCs/>
        </w:rPr>
        <w:t xml:space="preserve"> The limitations in this Section 8.2 (</w:t>
      </w:r>
      <w:r w:rsidRPr="008F15DC" w:rsidR="008F15DC">
        <w:rPr>
          <w:b/>
          <w:bCs/>
          <w:i/>
          <w:iCs/>
        </w:rPr>
        <w:t>Liability for the Facility</w:t>
      </w:r>
      <w:r w:rsidRPr="008F15DC" w:rsidR="008F15DC">
        <w:rPr>
          <w:b/>
          <w:bCs/>
        </w:rPr>
        <w:t>) do not apply to the extent injury or damage is caused by GPC’s sole negligence, gross negligence, or intentional misconduct.</w:t>
      </w:r>
    </w:p>
    <w:p w:rsidRPr="00AB38D8" w:rsidR="00444673" w:rsidP="00B71D5E" w:rsidRDefault="0029492C" w14:paraId="5E9A60B8" w14:textId="77777777">
      <w:pPr>
        <w:pStyle w:val="zGTC02"/>
        <w:rPr>
          <w:rFonts w:ascii="Arial" w:hAnsi="Arial" w:cs="Arial"/>
          <w:vanish/>
          <w:specVanish/>
        </w:rPr>
      </w:pPr>
      <w:bookmarkStart w:name="_Toc181639483" w:id="453"/>
      <w:bookmarkStart w:name="_Toc214644803" w:id="454"/>
      <w:r>
        <w:rPr>
          <w:rFonts w:ascii="Arial" w:hAnsi="Arial" w:cs="Arial"/>
        </w:rPr>
        <w:t>Indemnification by Seller.</w:t>
      </w:r>
      <w:bookmarkEnd w:id="451"/>
      <w:bookmarkEnd w:id="452"/>
      <w:bookmarkEnd w:id="453"/>
      <w:bookmarkEnd w:id="454"/>
    </w:p>
    <w:p w:rsidRPr="00AB38D8" w:rsidR="00355B1B" w:rsidP="00CC3F71" w:rsidRDefault="00444673" w14:paraId="637D4BA2" w14:textId="77777777">
      <w:pPr>
        <w:pStyle w:val="zGNormal"/>
        <w:spacing w:after="120"/>
        <w:rPr>
          <w:b/>
          <w:bCs/>
        </w:rPr>
      </w:pPr>
      <w:r>
        <w:rPr>
          <w:b/>
          <w:bCs/>
        </w:rPr>
        <w:t xml:space="preserve"> </w:t>
      </w:r>
      <w:r>
        <w:t>To the fullest extent allowed by law, Seller must indemnify, release, hold harmless, and at GPC’s request, defend GPC and its Affiliates and any GPC Related Party (each, an “</w:t>
      </w:r>
      <w:r>
        <w:rPr>
          <w:b/>
        </w:rPr>
        <w:t>Indemnified GPC Party</w:t>
      </w:r>
      <w:r>
        <w:t>” and collectively, “</w:t>
      </w:r>
      <w:r>
        <w:rPr>
          <w:b/>
          <w:bCs/>
        </w:rPr>
        <w:t>Indemnified GPC Parties</w:t>
      </w:r>
      <w:r>
        <w:t xml:space="preserve">”) from or against any Claim caused by, arising out of, or related to: </w:t>
      </w:r>
    </w:p>
    <w:p w:rsidRPr="00AB38D8" w:rsidR="005923D0" w:rsidP="00B71D5E" w:rsidRDefault="0056407A" w14:paraId="58CB690E" w14:textId="72860253">
      <w:pPr>
        <w:pStyle w:val="zGTC04"/>
        <w:rPr>
          <w:rFonts w:cs="Arial"/>
        </w:rPr>
      </w:pPr>
      <w:r>
        <w:rPr>
          <w:rFonts w:cs="Arial"/>
        </w:rPr>
        <w:t>any breach</w:t>
      </w:r>
      <w:r w:rsidR="009A0E8C">
        <w:rPr>
          <w:rFonts w:cs="Arial"/>
        </w:rPr>
        <w:t xml:space="preserve"> of,</w:t>
      </w:r>
      <w:r>
        <w:rPr>
          <w:rFonts w:cs="Arial"/>
        </w:rPr>
        <w:t xml:space="preserve"> or inaccuracy </w:t>
      </w:r>
      <w:r w:rsidR="009A0E8C">
        <w:rPr>
          <w:rFonts w:cs="Arial"/>
        </w:rPr>
        <w:t>in,</w:t>
      </w:r>
      <w:r>
        <w:rPr>
          <w:rFonts w:cs="Arial"/>
        </w:rPr>
        <w:t xml:space="preserve"> a</w:t>
      </w:r>
      <w:r w:rsidR="00FF4EB5">
        <w:rPr>
          <w:rFonts w:cs="Arial"/>
        </w:rPr>
        <w:t>ny</w:t>
      </w:r>
      <w:r>
        <w:rPr>
          <w:rFonts w:cs="Arial"/>
        </w:rPr>
        <w:t xml:space="preserve"> representation, warranty, or other statement made by Seller in this APA, or any other Transaction Document, or the Seller Closing </w:t>
      </w:r>
      <w:proofErr w:type="gramStart"/>
      <w:r>
        <w:rPr>
          <w:rFonts w:cs="Arial"/>
        </w:rPr>
        <w:t>Certificate;</w:t>
      </w:r>
      <w:proofErr w:type="gramEnd"/>
      <w:r>
        <w:rPr>
          <w:rFonts w:cs="Arial"/>
        </w:rPr>
        <w:t xml:space="preserve"> </w:t>
      </w:r>
    </w:p>
    <w:p w:rsidRPr="00AB38D8" w:rsidR="005923D0" w:rsidP="00B71D5E" w:rsidRDefault="0029005B" w14:paraId="0E8A2ACF" w14:textId="11C0E15C">
      <w:pPr>
        <w:pStyle w:val="zGTC04"/>
        <w:rPr>
          <w:rFonts w:cs="Arial"/>
        </w:rPr>
      </w:pPr>
      <w:r>
        <w:rPr>
          <w:rFonts w:cs="Arial"/>
        </w:rPr>
        <w:lastRenderedPageBreak/>
        <w:t xml:space="preserve">any breach of, or default in, any covenant or obligation to be performed by Seller under this APA, or any other Transaction </w:t>
      </w:r>
      <w:proofErr w:type="gramStart"/>
      <w:r>
        <w:rPr>
          <w:rFonts w:cs="Arial"/>
        </w:rPr>
        <w:t>Document;</w:t>
      </w:r>
      <w:proofErr w:type="gramEnd"/>
      <w:r>
        <w:rPr>
          <w:rFonts w:cs="Arial"/>
        </w:rPr>
        <w:t xml:space="preserve"> </w:t>
      </w:r>
    </w:p>
    <w:p w:rsidRPr="00AB38D8" w:rsidR="005923D0" w:rsidP="00B71D5E" w:rsidRDefault="0029492C" w14:paraId="6599102D" w14:textId="77777777">
      <w:pPr>
        <w:pStyle w:val="zGTC04"/>
        <w:rPr>
          <w:rFonts w:cs="Arial"/>
        </w:rPr>
      </w:pPr>
      <w:r>
        <w:rPr>
          <w:rFonts w:cs="Arial"/>
        </w:rPr>
        <w:t xml:space="preserve">the Excluded Assets or the Excluded </w:t>
      </w:r>
      <w:proofErr w:type="gramStart"/>
      <w:r>
        <w:rPr>
          <w:rFonts w:cs="Arial"/>
        </w:rPr>
        <w:t>Liabilities;</w:t>
      </w:r>
      <w:proofErr w:type="gramEnd"/>
    </w:p>
    <w:p w:rsidRPr="00AB38D8" w:rsidR="0029492C" w:rsidP="00B71D5E" w:rsidRDefault="009F3EBE" w14:paraId="3C0E8B67" w14:textId="77777777">
      <w:pPr>
        <w:pStyle w:val="zGTC04"/>
        <w:rPr>
          <w:rFonts w:cs="Arial"/>
          <w:szCs w:val="20"/>
        </w:rPr>
      </w:pPr>
      <w:r>
        <w:rPr>
          <w:rFonts w:cs="Arial"/>
        </w:rPr>
        <w:t>any fraud, intentional misrepresentation, or willful misconduct of Seller in connection with this APA</w:t>
      </w:r>
      <w:bookmarkStart w:name="_Hlk144633838" w:id="455"/>
      <w:r>
        <w:rPr>
          <w:rFonts w:cs="Arial"/>
        </w:rPr>
        <w:t xml:space="preserve">, or any other Transaction Document, </w:t>
      </w:r>
      <w:bookmarkEnd w:id="455"/>
      <w:r>
        <w:rPr>
          <w:rFonts w:cs="Arial"/>
        </w:rPr>
        <w:t xml:space="preserve">or the </w:t>
      </w:r>
      <w:r>
        <w:rPr>
          <w:rFonts w:cs="Arial"/>
          <w:szCs w:val="20"/>
        </w:rPr>
        <w:t xml:space="preserve">transactions contemplated by this </w:t>
      </w:r>
      <w:proofErr w:type="gramStart"/>
      <w:r>
        <w:rPr>
          <w:rFonts w:cs="Arial"/>
          <w:szCs w:val="20"/>
        </w:rPr>
        <w:t>APA;</w:t>
      </w:r>
      <w:proofErr w:type="gramEnd"/>
    </w:p>
    <w:p w:rsidRPr="00AB38D8" w:rsidR="008E1843" w:rsidP="00B71D5E" w:rsidRDefault="008E1843" w14:paraId="1506CE54" w14:textId="77777777">
      <w:pPr>
        <w:pStyle w:val="zGTC04"/>
        <w:rPr>
          <w:rFonts w:cs="Arial"/>
          <w:szCs w:val="20"/>
        </w:rPr>
      </w:pPr>
      <w:r>
        <w:rPr>
          <w:rFonts w:cs="Arial"/>
        </w:rPr>
        <w:t>any loss in value of, or any inability to claim or otherwise take advantage of:</w:t>
      </w:r>
      <w:r>
        <w:rPr>
          <w:rFonts w:cs="Arial"/>
          <w:szCs w:val="20"/>
        </w:rPr>
        <w:t xml:space="preserve"> (a) relevant federal, state, or local Tax credits or accelerated depreciation (MACRS); or (b) Tax Benefits, in either case, due to any act or omission by Seller or any Person acting on Seller’s </w:t>
      </w:r>
      <w:proofErr w:type="gramStart"/>
      <w:r>
        <w:rPr>
          <w:rFonts w:cs="Arial"/>
          <w:szCs w:val="20"/>
        </w:rPr>
        <w:t>behalf;</w:t>
      </w:r>
      <w:proofErr w:type="gramEnd"/>
    </w:p>
    <w:p w:rsidRPr="00AB38D8" w:rsidR="008E1843" w:rsidP="00B71D5E" w:rsidRDefault="008E1843" w14:paraId="4126332C" w14:textId="77777777">
      <w:pPr>
        <w:pStyle w:val="zGTC04"/>
        <w:rPr>
          <w:rFonts w:cs="Arial"/>
          <w:szCs w:val="20"/>
        </w:rPr>
      </w:pPr>
      <w:r>
        <w:rPr>
          <w:rFonts w:cs="Arial"/>
          <w:szCs w:val="20"/>
        </w:rPr>
        <w:t xml:space="preserve">any security breach, cyber-attack, other data security or cyber incident, or unauthorized access to any Facility IT Assets that resulted in </w:t>
      </w:r>
      <w:proofErr w:type="gramStart"/>
      <w:r>
        <w:rPr>
          <w:rFonts w:cs="Arial"/>
          <w:szCs w:val="20"/>
        </w:rPr>
        <w:t>the unauthorized</w:t>
      </w:r>
      <w:proofErr w:type="gramEnd"/>
      <w:r>
        <w:rPr>
          <w:rFonts w:cs="Arial"/>
          <w:szCs w:val="20"/>
        </w:rPr>
        <w:t xml:space="preserve"> use, misappropriation, modification, encryption, corruption, disclosure, or transfer of any material information or data relating to the Facility Assets due to any act or omission by Seller or any Person acting on Seller’s </w:t>
      </w:r>
      <w:proofErr w:type="gramStart"/>
      <w:r>
        <w:rPr>
          <w:rFonts w:cs="Arial"/>
          <w:szCs w:val="20"/>
        </w:rPr>
        <w:t>behalf;</w:t>
      </w:r>
      <w:proofErr w:type="gramEnd"/>
    </w:p>
    <w:p w:rsidRPr="00AB38D8" w:rsidR="008E1843" w:rsidP="00B71D5E" w:rsidRDefault="00860E25" w14:paraId="718603D6" w14:textId="77777777">
      <w:pPr>
        <w:pStyle w:val="zGTC04"/>
        <w:rPr>
          <w:rFonts w:cs="Arial"/>
          <w:szCs w:val="20"/>
        </w:rPr>
      </w:pPr>
      <w:r>
        <w:rPr>
          <w:rFonts w:cs="Arial"/>
          <w:szCs w:val="20"/>
        </w:rPr>
        <w:t xml:space="preserve">infringement or violation of any Intellectual Property Right of a third party </w:t>
      </w:r>
      <w:proofErr w:type="gramStart"/>
      <w:r>
        <w:rPr>
          <w:rFonts w:cs="Arial"/>
          <w:szCs w:val="20"/>
        </w:rPr>
        <w:t>with regard to</w:t>
      </w:r>
      <w:proofErr w:type="gramEnd"/>
      <w:r>
        <w:rPr>
          <w:rFonts w:cs="Arial"/>
          <w:szCs w:val="20"/>
        </w:rPr>
        <w:t xml:space="preserve"> </w:t>
      </w:r>
      <w:r>
        <w:rPr>
          <w:rFonts w:cs="Arial"/>
        </w:rPr>
        <w:t xml:space="preserve">the ownership or operation of the Facility or the </w:t>
      </w:r>
      <w:r>
        <w:rPr>
          <w:rFonts w:cs="Arial"/>
          <w:szCs w:val="20"/>
        </w:rPr>
        <w:t xml:space="preserve">Facility </w:t>
      </w:r>
      <w:proofErr w:type="gramStart"/>
      <w:r>
        <w:rPr>
          <w:rFonts w:cs="Arial"/>
          <w:szCs w:val="20"/>
        </w:rPr>
        <w:t>Assets;</w:t>
      </w:r>
      <w:proofErr w:type="gramEnd"/>
    </w:p>
    <w:p w:rsidRPr="00AB38D8" w:rsidR="008E1843" w:rsidP="00B71D5E" w:rsidRDefault="008E1843" w14:paraId="3D4E1550" w14:textId="2F923BEC">
      <w:pPr>
        <w:pStyle w:val="zGTC04"/>
        <w:rPr>
          <w:rFonts w:cs="Arial"/>
          <w:szCs w:val="20"/>
        </w:rPr>
      </w:pPr>
      <w:r>
        <w:rPr>
          <w:rFonts w:cs="Arial"/>
          <w:szCs w:val="20"/>
        </w:rPr>
        <w:t xml:space="preserve">any oral farming lease pertaining to any part of the Facility Real Property that was not properly and legally terminated in accordance with applicable </w:t>
      </w:r>
      <w:r>
        <w:t>law</w:t>
      </w:r>
      <w:r>
        <w:rPr>
          <w:rFonts w:cs="Arial"/>
          <w:szCs w:val="20"/>
        </w:rPr>
        <w:t xml:space="preserve"> </w:t>
      </w:r>
      <w:r w:rsidR="0090318B">
        <w:rPr>
          <w:rFonts w:cs="Arial"/>
          <w:szCs w:val="20"/>
        </w:rPr>
        <w:t>before</w:t>
      </w:r>
      <w:r>
        <w:rPr>
          <w:rFonts w:cs="Arial"/>
          <w:szCs w:val="20"/>
        </w:rPr>
        <w:t xml:space="preserve"> the Closing </w:t>
      </w:r>
      <w:proofErr w:type="gramStart"/>
      <w:r>
        <w:rPr>
          <w:rFonts w:cs="Arial"/>
          <w:szCs w:val="20"/>
        </w:rPr>
        <w:t>Date;</w:t>
      </w:r>
      <w:proofErr w:type="gramEnd"/>
      <w:r>
        <w:rPr>
          <w:rFonts w:cs="Arial"/>
          <w:szCs w:val="20"/>
        </w:rPr>
        <w:t xml:space="preserve"> </w:t>
      </w:r>
    </w:p>
    <w:p w:rsidRPr="00AB38D8" w:rsidR="00080C7E" w:rsidP="78826865" w:rsidRDefault="00080C7E" w14:paraId="77947F8B" w14:textId="77777777">
      <w:pPr>
        <w:pStyle w:val="zGTC04"/>
        <w:rPr>
          <w:rFonts w:cs="Arial"/>
        </w:rPr>
      </w:pPr>
      <w:r>
        <w:rPr>
          <w:rFonts w:cs="Arial"/>
        </w:rPr>
        <w:t xml:space="preserve">any defect in title upon any of the Facility Assets or the Facility purchased under this </w:t>
      </w:r>
      <w:proofErr w:type="gramStart"/>
      <w:r>
        <w:rPr>
          <w:rFonts w:cs="Arial"/>
        </w:rPr>
        <w:t>APA;</w:t>
      </w:r>
      <w:proofErr w:type="gramEnd"/>
      <w:r>
        <w:rPr>
          <w:rFonts w:cs="Arial"/>
        </w:rPr>
        <w:t xml:space="preserve"> </w:t>
      </w:r>
    </w:p>
    <w:p w:rsidRPr="00AB38D8" w:rsidR="00080C7E" w:rsidP="00B71D5E" w:rsidRDefault="0A1AF0F2" w14:paraId="16EDDD67" w14:textId="77777777">
      <w:pPr>
        <w:pStyle w:val="zGTC04"/>
        <w:rPr>
          <w:rFonts w:cs="Arial"/>
        </w:rPr>
      </w:pPr>
      <w:r>
        <w:rPr>
          <w:rFonts w:cs="Arial"/>
        </w:rPr>
        <w:t xml:space="preserve">any: (a) Outage Period occurring during the Interim Period; (b) Outage Period that Seller does not fully resolve or cause to be fully resolved within the time agreed upon by GPC and Seller; or (c) Outage Period occurring during the Interim Period or scheduled for after </w:t>
      </w:r>
      <w:proofErr w:type="gramStart"/>
      <w:r>
        <w:rPr>
          <w:rFonts w:cs="Arial"/>
        </w:rPr>
        <w:t>Closing</w:t>
      </w:r>
      <w:proofErr w:type="gramEnd"/>
      <w:r>
        <w:rPr>
          <w:rFonts w:cs="Arial"/>
        </w:rPr>
        <w:t xml:space="preserve"> for which Seller does not timely complete the required maintenance; and</w:t>
      </w:r>
    </w:p>
    <w:p w:rsidRPr="00CC3F71" w:rsidR="00590D26" w:rsidP="00590D26" w:rsidRDefault="00420088" w14:paraId="3E536D18" w14:textId="601A006D">
      <w:pPr>
        <w:pStyle w:val="zGTC04"/>
      </w:pPr>
      <w:r>
        <w:rPr>
          <w:rFonts w:cs="Arial"/>
        </w:rPr>
        <w:t>any act or omission associated with the Facility by Seller or any of its Affiliates unless the Claim resulted from the sole negligence or intentional wrongdoing of an Indemnified GPC Party, in which case Seller will not be liable under this subpart (xi).</w:t>
      </w:r>
    </w:p>
    <w:p w:rsidRPr="00AB38D8" w:rsidR="00A15642" w:rsidP="00B71D5E" w:rsidRDefault="00A15642" w14:paraId="218CFFCC" w14:textId="77777777">
      <w:pPr>
        <w:pStyle w:val="zGTC02"/>
        <w:rPr>
          <w:rFonts w:ascii="Arial" w:hAnsi="Arial" w:cs="Arial"/>
          <w:vanish/>
          <w:specVanish/>
        </w:rPr>
      </w:pPr>
      <w:bookmarkStart w:name="_Toc143607269" w:id="456"/>
      <w:bookmarkStart w:name="_Toc181639484" w:id="457"/>
      <w:bookmarkStart w:name="_Toc214644804" w:id="458"/>
      <w:bookmarkStart w:name="_Toc138350418" w:id="459"/>
      <w:r>
        <w:rPr>
          <w:rFonts w:ascii="Arial" w:hAnsi="Arial" w:cs="Arial"/>
        </w:rPr>
        <w:t>Environmental Indemnity.</w:t>
      </w:r>
      <w:bookmarkEnd w:id="456"/>
      <w:bookmarkEnd w:id="457"/>
      <w:bookmarkEnd w:id="458"/>
    </w:p>
    <w:p w:rsidRPr="00AB38D8" w:rsidR="00A15642" w:rsidP="00B71D5E" w:rsidRDefault="00A15642" w14:paraId="393DF2ED" w14:textId="38D266A7">
      <w:pPr>
        <w:pStyle w:val="zGNormal"/>
        <w:spacing w:after="120"/>
      </w:pPr>
      <w:r>
        <w:t xml:space="preserve"> </w:t>
      </w:r>
      <w:bookmarkStart w:name="_Hlk144222487" w:id="460"/>
      <w:r>
        <w:t xml:space="preserve">Without limiting GPC’s other rights to indemnification under this APA, Seller will indemnify and hold harmless (and at GPC’s request, defend, unless GPC elects in its sole discretion to so defend) the Indemnified GPC Parties from and against any Claim, and will compensate or reimburse the Indemnified GPC Parties for, any Claim that arises out of or in connection with, or relates to: (i) any loss, obligation, or other responsibility under any Environmental Law (whether or not the loss, obligation, or other responsibility existed on or before the Closing Date) arising out of or relating to: (a) the ownership, operation, or condition at any time on or before the Closing Date, of the Facility, the Facility Real Property, or any of the other Facility Assets; (b) any Hazardous Substance that was present or existing on, at, or under the Facility, the Facility Real Property, or any of the other Facility Assets at any time on or </w:t>
      </w:r>
      <w:r w:rsidR="001C0BA0">
        <w:t>before</w:t>
      </w:r>
      <w:r>
        <w:t xml:space="preserve"> the Closing Date; (c) any Hazardous Substance, wherever located, that was generated, transported, stored, treated, Released, or otherwise handled by Seller or its Affiliates in connection with the Facility at any time on or before the Closing Date; or (d) any Hazardous Activity conducted by Seller, or by any other Person for whose conduct Seller is or may be held responsible; or (ii) loss of life, bodily injury, property damage, or other damage of or to any Person, including any employee or former employee of any Seller Representative, regardless of when the loss of life, bodily injury, property damage, or other damage occurred or manifested, in any way arising from or allegedly arising from any Hazardous Activity conducted on or before the Closing Date with respect to the Facility, the Facility Real Property, or any of the other Facility Assets, or with respect to the operation of the Facility, or from any Hazardous Substance that was: (I) present on or before the Closing Date on, at, or under the Facility Real Property (or present on, at, or under any other property, if the Hazardous Substance emanated or allegedly emanated from any of the Facility Real Property on or before the Closing Date); or (II) Released by Seller, a Seller Representative, or any other Person for whose conduct Seller is or may be held responsible, at any time on or before the Closing Date. GPC will be entitled (at its election) to control any investigatory, cleanup, remedial, or response activity, any related Action, and, except as provided in the following sentence, any other Action for which relief may be sought under this Section 8.4 (</w:t>
      </w:r>
      <w:r>
        <w:rPr>
          <w:i/>
          <w:iCs/>
        </w:rPr>
        <w:t xml:space="preserve">Environmental Indemnity). </w:t>
      </w:r>
      <w:r>
        <w:t>The procedure described in Section 8.5 (</w:t>
      </w:r>
      <w:r>
        <w:rPr>
          <w:i/>
          <w:iCs/>
        </w:rPr>
        <w:t>Notice of Proceeding</w:t>
      </w:r>
      <w:r>
        <w:t xml:space="preserve">), however, will apply to any Third-Party Claim solely for monetary damages relating to a matter covered by </w:t>
      </w:r>
      <w:proofErr w:type="gramStart"/>
      <w:r>
        <w:t>this Section</w:t>
      </w:r>
      <w:proofErr w:type="gramEnd"/>
      <w:r>
        <w:t xml:space="preserve"> 8.4. </w:t>
      </w:r>
    </w:p>
    <w:p w:rsidRPr="00AB38D8" w:rsidR="006506D4" w:rsidP="006506D4" w:rsidRDefault="00080C7E" w14:paraId="189D4252" w14:textId="77777777">
      <w:pPr>
        <w:pStyle w:val="zGTC02"/>
        <w:rPr>
          <w:rFonts w:ascii="Arial" w:hAnsi="Arial" w:cs="Arial"/>
          <w:vanish/>
          <w:specVanish/>
        </w:rPr>
      </w:pPr>
      <w:bookmarkStart w:name="_Toc138350419" w:id="461"/>
      <w:bookmarkStart w:name="_Toc143607270" w:id="462"/>
      <w:bookmarkStart w:name="_Toc181639485" w:id="463"/>
      <w:bookmarkStart w:name="_Toc214644805" w:id="464"/>
      <w:bookmarkEnd w:id="459"/>
      <w:bookmarkEnd w:id="460"/>
      <w:r>
        <w:rPr>
          <w:rFonts w:ascii="Arial" w:hAnsi="Arial" w:cs="Arial"/>
        </w:rPr>
        <w:t>Notice of Proceeding.</w:t>
      </w:r>
      <w:bookmarkEnd w:id="461"/>
      <w:bookmarkEnd w:id="462"/>
      <w:bookmarkEnd w:id="463"/>
      <w:bookmarkEnd w:id="464"/>
    </w:p>
    <w:p w:rsidRPr="00AB38D8" w:rsidR="0029492C" w:rsidP="006506D4" w:rsidRDefault="001156FB" w14:paraId="6405FD8F" w14:textId="77777777">
      <w:pPr>
        <w:pStyle w:val="zGNormal6"/>
      </w:pPr>
      <w:r>
        <w:t xml:space="preserve"> GPC will promptly notify Seller of any Claim or proceeding regarding which GPC seeks to be indemnified under this APA (“</w:t>
      </w:r>
      <w:r>
        <w:rPr>
          <w:b/>
          <w:bCs/>
        </w:rPr>
        <w:t>Indemnification Claim</w:t>
      </w:r>
      <w:r>
        <w:t xml:space="preserve">”). Any notice must be given as soon as reasonably practicable after the Indemnified GPC Party becomes aware of the Indemnification Claim. Failure to give this notice will not excuse the indemnification obligation of Seller except to the extent failure to provide notice </w:t>
      </w:r>
      <w:r>
        <w:lastRenderedPageBreak/>
        <w:t>prejudices Seller. If requested by GPC, Seller will assume the defense of the Indemnification Claim with counsel designated by GPC. However, if the defendants in any such action include both an Indemnified GPC Party and Seller, and the Indemnified GPC Party reasonably concludes that there may be legal defenses available to it that are different from, additional to, or inconsistent with, those available to Seller, the Indemnified GPC Party will have the right to select and be represented by separate counsel, at the expense of Seller. If, following a request by GPC, Seller fails to assume the defense of an Indemnification Claim, the indemnification of which is required under this APA, the Indemnified GPC Party may, at the expense of Seller, contest, settle, or pay the Indemnification Claim, but settlement or full payment of the Indemnification Claim may be made only with Seller’s consent or, absent such consent, written opinion of the Indemnified GPC Party’s counsel that the Indemnification Claim is meritorious or warrants settlement.</w:t>
      </w:r>
    </w:p>
    <w:p w:rsidRPr="00AB38D8" w:rsidR="0029492C" w:rsidP="00B71D5E" w:rsidRDefault="0029492C" w14:paraId="54DD3283" w14:textId="77777777">
      <w:pPr>
        <w:pStyle w:val="zGTC02"/>
        <w:rPr>
          <w:rFonts w:ascii="Arial" w:hAnsi="Arial" w:cs="Arial"/>
          <w:vanish/>
          <w:specVanish/>
        </w:rPr>
      </w:pPr>
      <w:bookmarkStart w:name="_Toc138350420" w:id="465"/>
      <w:bookmarkStart w:name="_Toc143607271" w:id="466"/>
      <w:bookmarkStart w:name="_Toc181639486" w:id="467"/>
      <w:bookmarkStart w:name="_Toc214644806" w:id="468"/>
      <w:r>
        <w:rPr>
          <w:rFonts w:ascii="Arial" w:hAnsi="Arial" w:cs="Arial"/>
        </w:rPr>
        <w:t>Materiality.</w:t>
      </w:r>
      <w:bookmarkEnd w:id="465"/>
      <w:bookmarkEnd w:id="466"/>
      <w:bookmarkEnd w:id="467"/>
      <w:bookmarkEnd w:id="468"/>
    </w:p>
    <w:p w:rsidRPr="00AB38D8" w:rsidR="0029492C" w:rsidP="00B71D5E" w:rsidRDefault="0029492C" w14:paraId="44E7A415" w14:textId="77777777">
      <w:pPr>
        <w:pStyle w:val="zGNormal"/>
        <w:spacing w:after="120"/>
      </w:pPr>
      <w:r>
        <w:t xml:space="preserve"> Despite any other provision in this APA, for purposes of Section 8.3(i) (</w:t>
      </w:r>
      <w:r>
        <w:rPr>
          <w:i/>
          <w:iCs/>
        </w:rPr>
        <w:t>Indemnification by Seller</w:t>
      </w:r>
      <w:r>
        <w:t>), in determining: (i) whether any inaccuracy or breach has occurred in any representation or warranty contained in this APA, any Transaction Document, or the Seller Closing Certificate; or (ii) the amount of any damage or loss suffered by an Indemnified GPC Party as a result of any such inaccuracy or breach, this determination will be made without regard to any “materiality,” “Seller Material Adverse Effect,” or similar qualification.</w:t>
      </w:r>
    </w:p>
    <w:p w:rsidRPr="00AB38D8" w:rsidR="0029492C" w:rsidP="00B71D5E" w:rsidRDefault="0029492C" w14:paraId="058E80F7" w14:textId="77777777">
      <w:pPr>
        <w:pStyle w:val="zGTC02"/>
        <w:rPr>
          <w:rFonts w:ascii="Arial" w:hAnsi="Arial" w:cs="Arial"/>
          <w:vanish/>
          <w:specVanish/>
        </w:rPr>
      </w:pPr>
      <w:bookmarkStart w:name="_Toc138350421" w:id="469"/>
      <w:bookmarkStart w:name="_Toc143607272" w:id="470"/>
      <w:bookmarkStart w:name="_Toc181639487" w:id="471"/>
      <w:bookmarkStart w:name="_Toc214644807" w:id="472"/>
      <w:r>
        <w:rPr>
          <w:rFonts w:ascii="Arial" w:hAnsi="Arial" w:cs="Arial"/>
        </w:rPr>
        <w:t>Effect of Investigation.</w:t>
      </w:r>
      <w:bookmarkEnd w:id="469"/>
      <w:bookmarkEnd w:id="470"/>
      <w:bookmarkEnd w:id="471"/>
      <w:bookmarkEnd w:id="472"/>
    </w:p>
    <w:p w:rsidRPr="00AB38D8" w:rsidR="0029492C" w:rsidP="00B71D5E" w:rsidRDefault="0029492C" w14:paraId="46F63435" w14:textId="77777777">
      <w:pPr>
        <w:pStyle w:val="zGNormal"/>
        <w:spacing w:after="120"/>
      </w:pPr>
      <w:r>
        <w:t xml:space="preserve"> An Indemnified GPC Party’s right to indemnification, payment, reimbursement, or any other remedy based upon any representation, warranty, covenant, agreement, or obligation contained in this APA or any Transaction Document will not be limited, diminished, or otherwise affected by any investigation conducted, or any knowledge acquired at any time, whether before or after the Closing and regardless of whether knowledge came from GPC, Seller, their respective Representatives, or any other Person, with respect to the accuracy or inaccuracy of or compliance or noncompliance with any representation, warranty, covenant, agreement, or obligation.</w:t>
      </w:r>
    </w:p>
    <w:p w:rsidRPr="00AB38D8" w:rsidR="00DC7472" w:rsidP="00FF0614" w:rsidRDefault="0029492C" w14:paraId="6E3DC319" w14:textId="77777777">
      <w:pPr>
        <w:pStyle w:val="zGTC02"/>
        <w:rPr>
          <w:vanish/>
          <w:specVanish/>
        </w:rPr>
      </w:pPr>
      <w:bookmarkStart w:name="_Toc138350423" w:id="473"/>
      <w:bookmarkStart w:name="_Toc143607274" w:id="474"/>
      <w:bookmarkStart w:name="_Toc181639488" w:id="475"/>
      <w:bookmarkStart w:name="_Toc214644808" w:id="476"/>
      <w:r>
        <w:t>No Duplicate Payments.</w:t>
      </w:r>
      <w:bookmarkEnd w:id="473"/>
      <w:bookmarkEnd w:id="474"/>
      <w:bookmarkEnd w:id="475"/>
      <w:bookmarkEnd w:id="476"/>
    </w:p>
    <w:p w:rsidRPr="00C15F1E" w:rsidR="0029492C" w:rsidP="00C15F1E" w:rsidRDefault="00DC7472" w14:paraId="0CE02F9A" w14:textId="15C0D663">
      <w:pPr>
        <w:pStyle w:val="zGNormal"/>
      </w:pPr>
      <w:r>
        <w:t xml:space="preserve"> Despite any other provision in this APA to the contrary, all amounts payable under the indemnification obligations of this APA will be paid without duplication.</w:t>
      </w:r>
    </w:p>
    <w:p w:rsidRPr="00AB38D8" w:rsidR="0029492C" w:rsidP="00B71D5E" w:rsidRDefault="0029492C" w14:paraId="0F8EED15" w14:textId="77777777">
      <w:pPr>
        <w:pStyle w:val="zGTC02"/>
        <w:rPr>
          <w:rFonts w:ascii="Arial" w:hAnsi="Arial" w:cs="Arial"/>
          <w:vanish/>
          <w:specVanish/>
        </w:rPr>
      </w:pPr>
      <w:bookmarkStart w:name="_Toc138350424" w:id="477"/>
      <w:bookmarkStart w:name="_Toc143607275" w:id="478"/>
      <w:bookmarkStart w:name="_Toc181639489" w:id="479"/>
      <w:bookmarkStart w:name="_Toc214644809" w:id="480"/>
      <w:r>
        <w:rPr>
          <w:rFonts w:ascii="Arial" w:hAnsi="Arial" w:cs="Arial"/>
        </w:rPr>
        <w:t>Right to Specific Performance.</w:t>
      </w:r>
      <w:bookmarkEnd w:id="477"/>
      <w:bookmarkEnd w:id="478"/>
      <w:bookmarkEnd w:id="479"/>
      <w:bookmarkEnd w:id="480"/>
    </w:p>
    <w:p w:rsidRPr="00AB38D8" w:rsidR="0029492C" w:rsidP="00B71D5E" w:rsidRDefault="0029492C" w14:paraId="7929F2B3" w14:textId="77777777">
      <w:pPr>
        <w:pStyle w:val="zGNormal"/>
        <w:spacing w:after="120"/>
      </w:pPr>
      <w:r>
        <w:t xml:space="preserve"> Despite any other provision in this APA to the contrary, without limiting or waiving any right or remedy of a Party under this APA now or hereafter existing at law, in equity, or by statute, each Party will be entitled to specific performance of the obligations to be performed by the other Party in accordance with the provisions of this APA. </w:t>
      </w:r>
    </w:p>
    <w:p w:rsidRPr="00AB38D8" w:rsidR="00836EF6" w:rsidP="00B71D5E" w:rsidRDefault="00836EF6" w14:paraId="5950C672" w14:textId="77777777">
      <w:pPr>
        <w:pStyle w:val="zGTC02"/>
        <w:rPr>
          <w:rFonts w:ascii="Arial" w:hAnsi="Arial" w:cs="Arial"/>
          <w:vanish/>
          <w:specVanish/>
        </w:rPr>
      </w:pPr>
      <w:bookmarkStart w:name="_Toc143607276" w:id="481"/>
      <w:bookmarkStart w:name="_Toc181639490" w:id="482"/>
      <w:bookmarkStart w:name="_Toc214644810" w:id="483"/>
      <w:bookmarkStart w:name="_Toc138350425" w:id="484"/>
      <w:r>
        <w:rPr>
          <w:rFonts w:ascii="Arial" w:hAnsi="Arial" w:cs="Arial"/>
        </w:rPr>
        <w:t>Tax Characterization.</w:t>
      </w:r>
      <w:bookmarkEnd w:id="481"/>
      <w:bookmarkEnd w:id="482"/>
      <w:bookmarkEnd w:id="483"/>
    </w:p>
    <w:p w:rsidRPr="00AB38D8" w:rsidR="0029492C" w:rsidP="00B71D5E" w:rsidRDefault="00836EF6" w14:paraId="0AD9E25A" w14:textId="77777777">
      <w:pPr>
        <w:pStyle w:val="zGNormal"/>
        <w:spacing w:after="120"/>
      </w:pPr>
      <w:r>
        <w:t xml:space="preserve"> </w:t>
      </w:r>
      <w:bookmarkEnd w:id="484"/>
      <w:r>
        <w:t xml:space="preserve">Unless otherwise required by applicable law, any indemnity payment made under this APA will be treated as an adjustment to the Purchase Price for all Tax purposes. </w:t>
      </w:r>
    </w:p>
    <w:p w:rsidRPr="00AB38D8" w:rsidR="000F71AD" w:rsidP="00B71D5E" w:rsidRDefault="000F71AD" w14:paraId="63CD4F7D" w14:textId="77777777">
      <w:pPr>
        <w:pStyle w:val="zGTC02"/>
        <w:rPr>
          <w:rFonts w:ascii="Arial" w:hAnsi="Arial" w:cs="Arial"/>
          <w:vanish/>
          <w:specVanish/>
        </w:rPr>
      </w:pPr>
      <w:bookmarkStart w:name="_Toc181639491" w:id="485"/>
      <w:bookmarkStart w:name="_Toc214644811" w:id="486"/>
      <w:bookmarkStart w:name="_Hlk144817957" w:id="487"/>
      <w:bookmarkStart w:name="_Toc138350426" w:id="488"/>
      <w:bookmarkStart w:name="_Toc143607277" w:id="489"/>
      <w:bookmarkStart w:name="_Toc143607308" w:id="490"/>
      <w:r>
        <w:rPr>
          <w:rFonts w:ascii="Arial" w:hAnsi="Arial" w:cs="Arial"/>
        </w:rPr>
        <w:t>Waiver of Consequential Damages.</w:t>
      </w:r>
      <w:bookmarkEnd w:id="485"/>
      <w:bookmarkEnd w:id="486"/>
    </w:p>
    <w:p w:rsidRPr="00B71D5E" w:rsidR="000F71AD" w:rsidP="00B71D5E" w:rsidRDefault="000F71AD" w14:paraId="566F6279" w14:textId="77777777">
      <w:pPr>
        <w:pStyle w:val="zGNormal"/>
        <w:spacing w:after="120"/>
      </w:pPr>
      <w:r>
        <w:t xml:space="preserve"> </w:t>
      </w:r>
      <w:r>
        <w:rPr>
          <w:b/>
          <w:bCs/>
          <w:u w:val="single"/>
        </w:rPr>
        <w:t xml:space="preserve">Unless expressly provided in this APA, and except for the payment of liquidated damages to the extent specified in this APA, neither Party nor any of its Affiliates nor any Person claiming through either Party will be liable to the other Party for: (i) consequential, incidental, special, punitive, exemplary, treble, or indirect damages (including lost profits, loss of use, loss of data, business opportunity, or anticipated savings; idled equipment costs; or increased overhead, financing, or operating costs); or (ii) other business interruption damages arising out of this APA, any damage or delay in connection with this APA, a Party’s act or failure to act, or a Party’s performance or non-performance under this APA, whether or not reasonable, foreseeable, contemplated, or avoidable </w:t>
      </w:r>
      <w:r>
        <w:rPr>
          <w:rStyle w:val="zGNormalChar"/>
          <w:b/>
          <w:bCs/>
          <w:u w:val="single"/>
        </w:rPr>
        <w:t xml:space="preserve">and whether </w:t>
      </w:r>
      <w:r>
        <w:rPr>
          <w:b/>
          <w:bCs/>
          <w:u w:val="single"/>
        </w:rPr>
        <w:t xml:space="preserve">by statute, in tort or contract, or otherwise. However, the foregoing limitation will not apply in the case of any amount owed to a third party for which this APA requires indemnification, or to limit the liability of a Party whose actions giving rise to such Liability constitute gross negligence or willful misconduct,  </w:t>
      </w:r>
      <w:r>
        <w:rPr>
          <w:rStyle w:val="zGNormalChar"/>
          <w:b/>
          <w:bCs/>
          <w:u w:val="single"/>
        </w:rPr>
        <w:t>nor will such limitation limit or reduce any amount owed by a defaulting Party under Section 9.2 (</w:t>
      </w:r>
      <w:r>
        <w:rPr>
          <w:rStyle w:val="zGNormalChar"/>
          <w:b/>
          <w:bCs/>
          <w:i/>
          <w:iCs/>
          <w:u w:val="single"/>
        </w:rPr>
        <w:t>Effect of Termination</w:t>
      </w:r>
      <w:r>
        <w:rPr>
          <w:rStyle w:val="zGNormalChar"/>
          <w:b/>
          <w:bCs/>
          <w:u w:val="single"/>
        </w:rPr>
        <w:t>), it being expressly agreed by the Parties that no portion of the Termination Payment will be considered consequential, special, incidental, punitive, exemplary, or indirect damages, lost profits, or other business interruption damages</w:t>
      </w:r>
      <w:bookmarkStart w:name="_Hlk143863903" w:id="491"/>
      <w:r>
        <w:rPr>
          <w:rStyle w:val="zGNormalChar"/>
          <w:b/>
          <w:bCs/>
          <w:u w:val="single"/>
        </w:rPr>
        <w:t xml:space="preserve"> and it being expressly agreed that the lost value of any ITC, PTC, or any other similar Tax credit or benefit will not be considered consequential damages for purposes of this Section 8.11 (</w:t>
      </w:r>
      <w:r>
        <w:rPr>
          <w:rStyle w:val="zGNormalChar"/>
          <w:b/>
          <w:bCs/>
          <w:i/>
          <w:iCs/>
          <w:u w:val="single"/>
        </w:rPr>
        <w:t>Waiver of Consequential Damages</w:t>
      </w:r>
      <w:r>
        <w:rPr>
          <w:rStyle w:val="zGNormalChar"/>
          <w:b/>
          <w:bCs/>
          <w:u w:val="single"/>
        </w:rPr>
        <w:t>).</w:t>
      </w:r>
      <w:bookmarkEnd w:id="491"/>
      <w:r>
        <w:rPr>
          <w:rStyle w:val="zGNormalChar"/>
          <w:b/>
          <w:bCs/>
          <w:u w:val="single"/>
        </w:rPr>
        <w:t xml:space="preserve"> If </w:t>
      </w:r>
      <w:r>
        <w:rPr>
          <w:b/>
          <w:bCs/>
          <w:u w:val="single"/>
        </w:rPr>
        <w:t xml:space="preserve">the damages required to be paid under this APA are liquidated, the Parties acknowledge that: (a) the actual damages likely to be incurred are difficult or impossible to determine; (b) otherwise obtaining an adequate remedy is inconvenient; and (c) the liquidated damage does not constitute a penalty and is a reasonable approximation of the actual harm or loss. The limitation in </w:t>
      </w:r>
      <w:proofErr w:type="gramStart"/>
      <w:r>
        <w:rPr>
          <w:b/>
          <w:bCs/>
          <w:u w:val="single"/>
        </w:rPr>
        <w:t>this Section</w:t>
      </w:r>
      <w:proofErr w:type="gramEnd"/>
      <w:r>
        <w:rPr>
          <w:b/>
          <w:bCs/>
          <w:u w:val="single"/>
        </w:rPr>
        <w:t> 8.11 applies regardless of fault and will survive APA termination, cancellation, suspension, completion, or expiration</w:t>
      </w:r>
      <w:r>
        <w:t xml:space="preserve">. </w:t>
      </w:r>
    </w:p>
    <w:p w:rsidRPr="00B71D5E" w:rsidR="0029492C" w:rsidP="00B71D5E" w:rsidRDefault="0029492C" w14:paraId="0A21A3A9" w14:textId="77777777">
      <w:pPr>
        <w:pStyle w:val="zGTC01"/>
        <w:spacing w:before="120"/>
        <w:rPr>
          <w:rFonts w:ascii="Arial" w:hAnsi="Arial"/>
        </w:rPr>
      </w:pPr>
      <w:bookmarkStart w:name="_Toc181639492" w:id="492"/>
      <w:bookmarkStart w:name="_Toc214644812" w:id="493"/>
      <w:bookmarkEnd w:id="487"/>
      <w:r>
        <w:rPr>
          <w:rFonts w:ascii="Arial" w:hAnsi="Arial"/>
        </w:rPr>
        <w:lastRenderedPageBreak/>
        <w:t>Termination</w:t>
      </w:r>
      <w:bookmarkEnd w:id="488"/>
      <w:bookmarkEnd w:id="489"/>
      <w:bookmarkEnd w:id="490"/>
      <w:bookmarkEnd w:id="492"/>
      <w:bookmarkEnd w:id="493"/>
    </w:p>
    <w:p w:rsidRPr="00B71D5E" w:rsidR="0029492C" w:rsidP="00B71D5E" w:rsidRDefault="0029492C" w14:paraId="47904CDB" w14:textId="77777777">
      <w:pPr>
        <w:pStyle w:val="zGTC02"/>
        <w:keepNext/>
        <w:rPr>
          <w:rFonts w:ascii="Arial" w:hAnsi="Arial" w:cs="Arial"/>
          <w:vanish/>
          <w:specVanish/>
        </w:rPr>
      </w:pPr>
      <w:bookmarkStart w:name="_Toc138350427" w:id="494"/>
      <w:bookmarkStart w:name="_Toc143607278" w:id="495"/>
      <w:bookmarkStart w:name="_Toc181639493" w:id="496"/>
      <w:bookmarkStart w:name="_Toc214644813" w:id="497"/>
      <w:r>
        <w:rPr>
          <w:rFonts w:ascii="Arial" w:hAnsi="Arial" w:cs="Arial"/>
        </w:rPr>
        <w:t>Termination.</w:t>
      </w:r>
      <w:bookmarkEnd w:id="494"/>
      <w:bookmarkEnd w:id="495"/>
      <w:bookmarkEnd w:id="496"/>
      <w:bookmarkEnd w:id="497"/>
    </w:p>
    <w:p w:rsidRPr="00B71D5E" w:rsidR="0029492C" w:rsidP="00B71D5E" w:rsidRDefault="0029492C" w14:paraId="05E14BD2" w14:textId="77777777">
      <w:pPr>
        <w:pStyle w:val="zGNormal"/>
        <w:keepNext/>
        <w:spacing w:after="120"/>
      </w:pPr>
      <w:r>
        <w:t xml:space="preserve"> </w:t>
      </w:r>
    </w:p>
    <w:p w:rsidRPr="00AB38D8" w:rsidR="0029492C" w:rsidP="00B71D5E" w:rsidRDefault="00E76B45" w14:paraId="2F267E19" w14:textId="38E90666">
      <w:pPr>
        <w:pStyle w:val="zGTC03"/>
        <w:keepNext/>
        <w:rPr>
          <w:rFonts w:cs="Arial"/>
        </w:rPr>
      </w:pPr>
      <w:r>
        <w:rPr>
          <w:rFonts w:cs="Arial"/>
          <w:b/>
          <w:bCs/>
        </w:rPr>
        <w:t>Termination for Failure to Close by Outside Date.</w:t>
      </w:r>
      <w:r>
        <w:rPr>
          <w:rFonts w:cs="Arial"/>
        </w:rPr>
        <w:t xml:space="preserve"> Either Party may terminate this APA, upon notice to the other Party, if the Closing has not </w:t>
      </w:r>
      <w:proofErr w:type="gramStart"/>
      <w:r>
        <w:rPr>
          <w:rFonts w:cs="Arial"/>
        </w:rPr>
        <w:t>occurred on</w:t>
      </w:r>
      <w:proofErr w:type="gramEnd"/>
      <w:r>
        <w:rPr>
          <w:rFonts w:cs="Arial"/>
        </w:rPr>
        <w:t xml:space="preserve"> before the Outside Date. However, GPC may not terminate under this </w:t>
      </w:r>
      <w:r>
        <w:t>Section</w:t>
      </w:r>
      <w:r>
        <w:rPr>
          <w:rFonts w:cs="Arial"/>
        </w:rPr>
        <w:t xml:space="preserve"> 9.1.1 (</w:t>
      </w:r>
      <w:r>
        <w:rPr>
          <w:rFonts w:cs="Arial"/>
          <w:i/>
          <w:iCs/>
        </w:rPr>
        <w:t>Termination for Failure to Close by Outside Date</w:t>
      </w:r>
      <w:r>
        <w:rPr>
          <w:rFonts w:cs="Arial"/>
        </w:rPr>
        <w:t xml:space="preserve">) if the failure of the Closing to occur is the result of a material breach by GPC of any of its representations, warranties, covenants or agreements under this APA, and Seller may not terminate this APA under this </w:t>
      </w:r>
      <w:r>
        <w:t>Section</w:t>
      </w:r>
      <w:r>
        <w:rPr>
          <w:rFonts w:cs="Arial"/>
        </w:rPr>
        <w:t xml:space="preserve"> 9.1.1 if the failure of the Closing to occur is the result of a material breach by Seller of any of its representations, warranties, covenants, or agreements under this APA. In addition, if the sole reason that the Closing has not occurred is that the Commission Certificate or FERC Approval, or both, has not been obtained on or </w:t>
      </w:r>
      <w:r w:rsidR="001C0BA0">
        <w:rPr>
          <w:rFonts w:cs="Arial"/>
        </w:rPr>
        <w:t>before</w:t>
      </w:r>
      <w:r>
        <w:rPr>
          <w:rFonts w:cs="Arial"/>
        </w:rPr>
        <w:t xml:space="preserve"> the Outside Date, but GPC reasonably believes that the Commission or FERC Approval, or both, may be forthcoming, GPC may extend the Outside Date by up the number of days specified in Exhibit A-1 (</w:t>
      </w:r>
      <w:r>
        <w:rPr>
          <w:rFonts w:cs="Arial"/>
          <w:i/>
          <w:iCs/>
        </w:rPr>
        <w:t>Facility Information and Additional Details</w:t>
      </w:r>
      <w:r>
        <w:rPr>
          <w:rFonts w:cs="Arial"/>
        </w:rPr>
        <w:t>).</w:t>
      </w:r>
    </w:p>
    <w:p w:rsidRPr="00AB38D8" w:rsidR="0029492C" w:rsidP="00B71D5E" w:rsidRDefault="00C72E54" w14:paraId="72C05182" w14:textId="44A177C5">
      <w:pPr>
        <w:pStyle w:val="zGTC03"/>
        <w:rPr>
          <w:rFonts w:cs="Arial"/>
        </w:rPr>
      </w:pPr>
      <w:r>
        <w:rPr>
          <w:rFonts w:cs="Arial"/>
          <w:b/>
          <w:bCs/>
          <w:szCs w:val="20"/>
        </w:rPr>
        <w:t>Termination by GPC.</w:t>
      </w:r>
      <w:r>
        <w:rPr>
          <w:rFonts w:cs="Arial"/>
          <w:szCs w:val="20"/>
        </w:rPr>
        <w:t xml:space="preserve"> GPC may terminate </w:t>
      </w:r>
      <w:r>
        <w:rPr>
          <w:rFonts w:cs="Arial"/>
        </w:rPr>
        <w:t>this APA</w:t>
      </w:r>
      <w:r>
        <w:rPr>
          <w:rFonts w:cs="Arial"/>
          <w:szCs w:val="20"/>
        </w:rPr>
        <w:t xml:space="preserve">, upon notice to Seller, if Seller has breached any of its representations, warranties, covenants, or agreements contained in this APA or any Transaction Document, and the breach causes the Closing conditions set forth in </w:t>
      </w:r>
      <w:r>
        <w:t>Section</w:t>
      </w:r>
      <w:r>
        <w:rPr>
          <w:rFonts w:cs="Arial"/>
          <w:szCs w:val="20"/>
        </w:rPr>
        <w:t xml:space="preserve"> 6.2.1 (</w:t>
      </w:r>
      <w:r>
        <w:rPr>
          <w:rFonts w:cs="Arial"/>
          <w:i/>
          <w:iCs/>
          <w:szCs w:val="20"/>
        </w:rPr>
        <w:t>Seller’s Representations and Warranties</w:t>
      </w:r>
      <w:r>
        <w:rPr>
          <w:rFonts w:cs="Arial"/>
          <w:szCs w:val="20"/>
        </w:rPr>
        <w:t xml:space="preserve">) or </w:t>
      </w:r>
      <w:r>
        <w:t>Section</w:t>
      </w:r>
      <w:r>
        <w:rPr>
          <w:rFonts w:cs="Arial"/>
          <w:szCs w:val="20"/>
        </w:rPr>
        <w:t xml:space="preserve"> 6.2.2 (</w:t>
      </w:r>
      <w:r>
        <w:rPr>
          <w:rFonts w:cs="Arial"/>
          <w:i/>
          <w:iCs/>
          <w:szCs w:val="20"/>
        </w:rPr>
        <w:t xml:space="preserve">Performance </w:t>
      </w:r>
      <w:r w:rsidR="001C0BA0">
        <w:rPr>
          <w:rFonts w:cs="Arial"/>
          <w:i/>
          <w:iCs/>
          <w:szCs w:val="20"/>
        </w:rPr>
        <w:t>Before</w:t>
      </w:r>
      <w:r>
        <w:rPr>
          <w:rFonts w:cs="Arial"/>
          <w:i/>
          <w:iCs/>
          <w:szCs w:val="20"/>
        </w:rPr>
        <w:t xml:space="preserve"> and at Closing</w:t>
      </w:r>
      <w:r>
        <w:rPr>
          <w:rFonts w:cs="Arial"/>
          <w:szCs w:val="20"/>
        </w:rPr>
        <w:t xml:space="preserve">) to not be satisfied. However, if the breach is capable of being cured and Seller has given notice to GPC of its intention to cure the breach and has promptly commenced and diligently proceeded to cure the breach, this APA will only terminate under this </w:t>
      </w:r>
      <w:r>
        <w:t>Section</w:t>
      </w:r>
      <w:r>
        <w:rPr>
          <w:rFonts w:cs="Arial"/>
          <w:szCs w:val="20"/>
        </w:rPr>
        <w:t xml:space="preserve"> 9.1.2 (</w:t>
      </w:r>
      <w:r>
        <w:rPr>
          <w:rFonts w:cs="Arial"/>
          <w:i/>
          <w:iCs/>
          <w:szCs w:val="20"/>
        </w:rPr>
        <w:t>Termination by GPC</w:t>
      </w:r>
      <w:r>
        <w:rPr>
          <w:rFonts w:cs="Arial"/>
          <w:szCs w:val="20"/>
        </w:rPr>
        <w:t xml:space="preserve">) if the breach has not been cured by Seller on or </w:t>
      </w:r>
      <w:r w:rsidR="001C0BA0">
        <w:rPr>
          <w:rFonts w:cs="Arial"/>
          <w:szCs w:val="20"/>
        </w:rPr>
        <w:t>before</w:t>
      </w:r>
      <w:r>
        <w:rPr>
          <w:rFonts w:cs="Arial"/>
          <w:szCs w:val="20"/>
        </w:rPr>
        <w:t xml:space="preserve"> the earlier to occur of: (i) 60 days following Seller’s receipt of notice of the breach from GPC; and (ii) the Outside Date. GPC may not terminate this APA pursuant to this </w:t>
      </w:r>
      <w:r>
        <w:t>Section</w:t>
      </w:r>
      <w:r>
        <w:rPr>
          <w:rFonts w:cs="Arial"/>
          <w:szCs w:val="20"/>
        </w:rPr>
        <w:t xml:space="preserve"> 9.1.2 if GPC is then in breach of any of its representations, warranties, covenants, or agreements contained in this APA or any Transaction Document, and the breach causes any of the Closing conditions set forth in </w:t>
      </w:r>
      <w:bookmarkStart w:name="_Hlk138349786" w:id="498"/>
      <w:r>
        <w:t>Section</w:t>
      </w:r>
      <w:r>
        <w:rPr>
          <w:rFonts w:cs="Arial"/>
          <w:szCs w:val="20"/>
        </w:rPr>
        <w:t xml:space="preserve"> 6.3.1 (</w:t>
      </w:r>
      <w:r>
        <w:rPr>
          <w:rFonts w:cs="Arial"/>
          <w:i/>
          <w:iCs/>
          <w:szCs w:val="20"/>
        </w:rPr>
        <w:t>GPC’s Representations and Warranties</w:t>
      </w:r>
      <w:r>
        <w:rPr>
          <w:rFonts w:cs="Arial"/>
          <w:szCs w:val="20"/>
        </w:rPr>
        <w:t xml:space="preserve">) or </w:t>
      </w:r>
      <w:r>
        <w:t>Section</w:t>
      </w:r>
      <w:r>
        <w:rPr>
          <w:rFonts w:cs="Arial"/>
          <w:szCs w:val="20"/>
        </w:rPr>
        <w:t xml:space="preserve"> 6.3.2 (</w:t>
      </w:r>
      <w:r>
        <w:rPr>
          <w:rFonts w:cs="Arial"/>
          <w:i/>
          <w:iCs/>
          <w:szCs w:val="20"/>
        </w:rPr>
        <w:t xml:space="preserve">Performance </w:t>
      </w:r>
      <w:r w:rsidR="001C0BA0">
        <w:rPr>
          <w:rFonts w:cs="Arial"/>
          <w:i/>
          <w:iCs/>
          <w:szCs w:val="20"/>
        </w:rPr>
        <w:t>Before</w:t>
      </w:r>
      <w:r>
        <w:rPr>
          <w:rFonts w:cs="Arial"/>
          <w:i/>
          <w:iCs/>
          <w:szCs w:val="20"/>
        </w:rPr>
        <w:t xml:space="preserve"> and at Closing</w:t>
      </w:r>
      <w:r>
        <w:rPr>
          <w:rFonts w:cs="Arial"/>
          <w:szCs w:val="20"/>
        </w:rPr>
        <w:t xml:space="preserve">) </w:t>
      </w:r>
      <w:bookmarkEnd w:id="498"/>
      <w:r>
        <w:rPr>
          <w:rFonts w:cs="Arial"/>
          <w:szCs w:val="20"/>
        </w:rPr>
        <w:t>to not be satisfied.</w:t>
      </w:r>
    </w:p>
    <w:p w:rsidRPr="00AB38D8" w:rsidR="0029492C" w:rsidP="00B71D5E" w:rsidRDefault="00C72E54" w14:paraId="5703CC8E" w14:textId="43E221F5">
      <w:pPr>
        <w:pStyle w:val="zGTC03"/>
        <w:rPr>
          <w:rFonts w:cs="Arial"/>
        </w:rPr>
      </w:pPr>
      <w:r>
        <w:rPr>
          <w:rFonts w:cs="Arial"/>
          <w:b/>
          <w:bCs/>
          <w:szCs w:val="20"/>
        </w:rPr>
        <w:t>Termination by Seller.</w:t>
      </w:r>
      <w:r>
        <w:rPr>
          <w:rFonts w:cs="Arial"/>
          <w:szCs w:val="20"/>
        </w:rPr>
        <w:t xml:space="preserve"> Seller may terminate this APA, upon notice to GPC, if GPC has breached any of its representations, warranties, covenants, or agreements contained in this APA or any Transaction Document, and the breach causes the Closing conditions set forth in </w:t>
      </w:r>
      <w:r>
        <w:t>Section</w:t>
      </w:r>
      <w:r>
        <w:rPr>
          <w:rFonts w:cs="Arial"/>
          <w:szCs w:val="20"/>
        </w:rPr>
        <w:t xml:space="preserve"> 6.3.1 (</w:t>
      </w:r>
      <w:r>
        <w:rPr>
          <w:rFonts w:cs="Arial"/>
          <w:i/>
          <w:iCs/>
          <w:szCs w:val="20"/>
        </w:rPr>
        <w:t>GPC’s Representations and Warranties</w:t>
      </w:r>
      <w:r>
        <w:rPr>
          <w:rFonts w:cs="Arial"/>
          <w:szCs w:val="20"/>
        </w:rPr>
        <w:t xml:space="preserve">) or </w:t>
      </w:r>
      <w:r>
        <w:t>Section</w:t>
      </w:r>
      <w:r>
        <w:rPr>
          <w:rFonts w:cs="Arial"/>
          <w:szCs w:val="20"/>
        </w:rPr>
        <w:t xml:space="preserve"> 6.3.2 (</w:t>
      </w:r>
      <w:r>
        <w:rPr>
          <w:rFonts w:cs="Arial"/>
          <w:i/>
          <w:iCs/>
          <w:szCs w:val="20"/>
        </w:rPr>
        <w:t xml:space="preserve">Performance </w:t>
      </w:r>
      <w:r w:rsidR="001C0BA0">
        <w:rPr>
          <w:rFonts w:cs="Arial"/>
          <w:i/>
          <w:iCs/>
          <w:szCs w:val="20"/>
        </w:rPr>
        <w:t>Before</w:t>
      </w:r>
      <w:r>
        <w:rPr>
          <w:rFonts w:cs="Arial"/>
          <w:i/>
          <w:iCs/>
          <w:szCs w:val="20"/>
        </w:rPr>
        <w:t xml:space="preserve"> and at Closing</w:t>
      </w:r>
      <w:r>
        <w:rPr>
          <w:rFonts w:cs="Arial"/>
          <w:szCs w:val="20"/>
        </w:rPr>
        <w:t xml:space="preserve">) to not be satisfied. However, if the breach is capable of being cured and GPC has given notice to Seller of its intention to cure the breach and has promptly commenced and diligently proceeded to cure the breach, this APA will only terminate under this </w:t>
      </w:r>
      <w:r>
        <w:t>Section</w:t>
      </w:r>
      <w:r>
        <w:rPr>
          <w:rFonts w:cs="Arial"/>
          <w:szCs w:val="20"/>
        </w:rPr>
        <w:t xml:space="preserve"> 9.1.3 (</w:t>
      </w:r>
      <w:r>
        <w:rPr>
          <w:rFonts w:cs="Arial"/>
          <w:i/>
          <w:iCs/>
          <w:szCs w:val="20"/>
        </w:rPr>
        <w:t>Termination by Seller</w:t>
      </w:r>
      <w:r>
        <w:rPr>
          <w:rFonts w:cs="Arial"/>
          <w:szCs w:val="20"/>
        </w:rPr>
        <w:t xml:space="preserve">) if the breach has not been cured by GPC on or </w:t>
      </w:r>
      <w:r w:rsidR="001C0BA0">
        <w:rPr>
          <w:rFonts w:cs="Arial"/>
          <w:szCs w:val="20"/>
        </w:rPr>
        <w:t>before</w:t>
      </w:r>
      <w:r>
        <w:rPr>
          <w:rFonts w:cs="Arial"/>
          <w:szCs w:val="20"/>
        </w:rPr>
        <w:t xml:space="preserve"> the earlier to occur of: (i) 60 days following GPC’s receipt of notice of the breach from Seller; and (ii) the Outside Date. In addition, Seller will not terminate this APA pursuant to this </w:t>
      </w:r>
      <w:r>
        <w:t>Section</w:t>
      </w:r>
      <w:r>
        <w:rPr>
          <w:rFonts w:cs="Arial"/>
          <w:szCs w:val="20"/>
        </w:rPr>
        <w:t xml:space="preserve"> 9.1.3 if Seller is then in breach of any of its representations, warranties, covenants, or agreements contained in this APA or any Transaction Document, and the breach causes any of the Closing conditions set forth in </w:t>
      </w:r>
      <w:r>
        <w:t>Section</w:t>
      </w:r>
      <w:r>
        <w:rPr>
          <w:rFonts w:cs="Arial"/>
          <w:szCs w:val="20"/>
        </w:rPr>
        <w:t xml:space="preserve"> 6.2.1 (</w:t>
      </w:r>
      <w:r>
        <w:rPr>
          <w:rFonts w:cs="Arial"/>
          <w:i/>
          <w:iCs/>
          <w:szCs w:val="20"/>
        </w:rPr>
        <w:t>Seller’s Representations and Warranties</w:t>
      </w:r>
      <w:r>
        <w:rPr>
          <w:rFonts w:cs="Arial"/>
          <w:szCs w:val="20"/>
        </w:rPr>
        <w:t xml:space="preserve">) or </w:t>
      </w:r>
      <w:r>
        <w:t>Section</w:t>
      </w:r>
      <w:r>
        <w:rPr>
          <w:rFonts w:cs="Arial"/>
          <w:szCs w:val="20"/>
        </w:rPr>
        <w:t xml:space="preserve"> 6.2.2 (</w:t>
      </w:r>
      <w:r>
        <w:rPr>
          <w:rFonts w:cs="Arial"/>
          <w:i/>
          <w:iCs/>
          <w:szCs w:val="20"/>
        </w:rPr>
        <w:t xml:space="preserve">Performance </w:t>
      </w:r>
      <w:r w:rsidR="001C0BA0">
        <w:rPr>
          <w:rFonts w:cs="Arial"/>
          <w:i/>
          <w:iCs/>
          <w:szCs w:val="20"/>
        </w:rPr>
        <w:t>Before</w:t>
      </w:r>
      <w:r>
        <w:rPr>
          <w:rFonts w:cs="Arial"/>
          <w:i/>
          <w:iCs/>
          <w:szCs w:val="20"/>
        </w:rPr>
        <w:t xml:space="preserve"> and at Closing</w:t>
      </w:r>
      <w:r>
        <w:rPr>
          <w:rFonts w:cs="Arial"/>
          <w:szCs w:val="20"/>
        </w:rPr>
        <w:t>) to not be satisfied.</w:t>
      </w:r>
    </w:p>
    <w:p w:rsidRPr="00B71D5E" w:rsidR="0029492C" w:rsidP="00B71D5E" w:rsidRDefault="006F6C4A" w14:paraId="47CB45D1" w14:textId="553D9273">
      <w:pPr>
        <w:pStyle w:val="zGTC03"/>
        <w:rPr>
          <w:rFonts w:cs="Arial"/>
        </w:rPr>
      </w:pPr>
      <w:r>
        <w:rPr>
          <w:rFonts w:cs="Arial"/>
          <w:b/>
          <w:bCs/>
          <w:szCs w:val="20"/>
        </w:rPr>
        <w:t>Law or Order Termination Right by Either Party.</w:t>
      </w:r>
      <w:r>
        <w:rPr>
          <w:rFonts w:cs="Arial"/>
          <w:szCs w:val="20"/>
        </w:rPr>
        <w:t xml:space="preserve"> Either Party may terminate this APA, upon notice to the other, if there is in effect any </w:t>
      </w:r>
      <w:r>
        <w:t>law</w:t>
      </w:r>
      <w:r>
        <w:rPr>
          <w:rFonts w:cs="Arial"/>
          <w:szCs w:val="20"/>
        </w:rPr>
        <w:t xml:space="preserve"> or non-appealable Order restraining, enjoining, or otherwise prohibiting or making illegal the consummation of the transactions contemplated by this APA. However, the Party seeking to terminate this APA under this </w:t>
      </w:r>
      <w:r>
        <w:t>Section</w:t>
      </w:r>
      <w:r>
        <w:rPr>
          <w:rFonts w:cs="Arial"/>
          <w:szCs w:val="20"/>
        </w:rPr>
        <w:t xml:space="preserve"> 9.1.4 (</w:t>
      </w:r>
      <w:r>
        <w:rPr>
          <w:rFonts w:cs="Arial"/>
          <w:i/>
          <w:iCs/>
          <w:szCs w:val="20"/>
        </w:rPr>
        <w:t>Law or Order Termination Right by Either Party</w:t>
      </w:r>
      <w:r>
        <w:rPr>
          <w:rFonts w:cs="Arial"/>
          <w:szCs w:val="20"/>
        </w:rPr>
        <w:t xml:space="preserve">) must have complied with its obligations under this APA in all material respects, with respect to the applicable </w:t>
      </w:r>
      <w:r>
        <w:t>law</w:t>
      </w:r>
      <w:r>
        <w:rPr>
          <w:rFonts w:cs="Arial"/>
          <w:szCs w:val="20"/>
        </w:rPr>
        <w:t xml:space="preserve"> or Order.</w:t>
      </w:r>
    </w:p>
    <w:p w:rsidRPr="00B71D5E" w:rsidR="00277060" w:rsidP="00B71D5E" w:rsidRDefault="00277060" w14:paraId="5C4241C9" w14:textId="3628313A">
      <w:pPr>
        <w:pStyle w:val="zGTC03"/>
        <w:rPr>
          <w:rFonts w:cs="Arial"/>
        </w:rPr>
      </w:pPr>
      <w:r>
        <w:rPr>
          <w:rFonts w:cs="Arial"/>
          <w:b/>
          <w:bCs/>
          <w:szCs w:val="20"/>
        </w:rPr>
        <w:t>Insolvency.</w:t>
      </w:r>
      <w:r>
        <w:rPr>
          <w:rFonts w:cs="Arial"/>
          <w:szCs w:val="20"/>
        </w:rPr>
        <w:t xml:space="preserve"> A Party may terminate this APA upon notice to the other, upon the Insolvency of the other Party.</w:t>
      </w:r>
    </w:p>
    <w:p w:rsidRPr="001C6323" w:rsidR="001C6323" w:rsidP="00B71D5E" w:rsidRDefault="00267E04" w14:paraId="74E29435" w14:textId="77777777">
      <w:pPr>
        <w:pStyle w:val="zGTC03"/>
        <w:rPr>
          <w:rFonts w:cs="Arial"/>
        </w:rPr>
      </w:pPr>
      <w:r>
        <w:rPr>
          <w:rFonts w:cs="Arial"/>
          <w:b/>
          <w:bCs/>
          <w:szCs w:val="20"/>
        </w:rPr>
        <w:t>Termination by Mutual Agreement.</w:t>
      </w:r>
      <w:r>
        <w:rPr>
          <w:rFonts w:cs="Arial"/>
          <w:szCs w:val="20"/>
        </w:rPr>
        <w:t xml:space="preserve"> This APA may be terminated by mutual written agreement of GPC and Seller.</w:t>
      </w:r>
    </w:p>
    <w:p w:rsidRPr="003F33CC" w:rsidR="0029492C" w:rsidP="00B71D5E" w:rsidRDefault="006D3121" w14:paraId="335CAD71" w14:textId="5538E865">
      <w:pPr>
        <w:pStyle w:val="zGTC03"/>
        <w:rPr>
          <w:rFonts w:cs="Arial"/>
          <w:szCs w:val="20"/>
        </w:rPr>
      </w:pPr>
      <w:r>
        <w:rPr>
          <w:b/>
        </w:rPr>
        <w:t>Schedule Update for New Matters or Casualty Losses</w:t>
      </w:r>
      <w:r>
        <w:rPr>
          <w:b/>
          <w:bCs/>
        </w:rPr>
        <w:t>.</w:t>
      </w:r>
      <w:r>
        <w:t xml:space="preserve">  GPC may terminate this APA in accordance with Section 5.17 (</w:t>
      </w:r>
      <w:r>
        <w:rPr>
          <w:i/>
        </w:rPr>
        <w:t>Casualty Loss</w:t>
      </w:r>
      <w:r>
        <w:t>), Section 5.18 (</w:t>
      </w:r>
      <w:r w:rsidR="00EF4AA3">
        <w:rPr>
          <w:i/>
        </w:rPr>
        <w:t>Update of Seller Disclosure Schedule</w:t>
      </w:r>
      <w:r>
        <w:t xml:space="preserve">), or as otherwise set forth in this APA. </w:t>
      </w:r>
      <w:r>
        <w:rPr>
          <w:highlight w:val="cyan"/>
        </w:rPr>
        <w:t>[</w:t>
      </w:r>
      <w:r>
        <w:rPr>
          <w:rFonts w:cs="Arial"/>
          <w:b/>
          <w:i/>
          <w:highlight w:val="cyan"/>
          <w:u w:val="single"/>
        </w:rPr>
        <w:t>Note to Bidders</w:t>
      </w:r>
      <w:r>
        <w:rPr>
          <w:rFonts w:cs="Arial"/>
          <w:b/>
          <w:i/>
          <w:highlight w:val="cyan"/>
        </w:rPr>
        <w:t>: Additional termination rights may be added based on deal specifics.</w:t>
      </w:r>
      <w:r>
        <w:rPr>
          <w:rFonts w:cs="Arial"/>
          <w:highlight w:val="cyan"/>
        </w:rPr>
        <w:t>]</w:t>
      </w:r>
    </w:p>
    <w:p w:rsidRPr="00B71D5E" w:rsidR="0029492C" w:rsidP="00B71D5E" w:rsidRDefault="0029492C" w14:paraId="2F732470" w14:textId="77777777">
      <w:pPr>
        <w:pStyle w:val="zGTC02"/>
        <w:rPr>
          <w:rFonts w:ascii="Arial" w:hAnsi="Arial" w:cs="Arial"/>
          <w:vanish/>
          <w:specVanish/>
        </w:rPr>
      </w:pPr>
      <w:bookmarkStart w:name="_Toc138350428" w:id="499"/>
      <w:bookmarkStart w:name="_Toc143607279" w:id="500"/>
      <w:bookmarkStart w:name="_Toc181639494" w:id="501"/>
      <w:bookmarkStart w:name="_Toc214644814" w:id="502"/>
      <w:r>
        <w:rPr>
          <w:rFonts w:ascii="Arial" w:hAnsi="Arial" w:cs="Arial"/>
        </w:rPr>
        <w:t>Effect of Termination.</w:t>
      </w:r>
      <w:bookmarkEnd w:id="499"/>
      <w:bookmarkEnd w:id="500"/>
      <w:bookmarkEnd w:id="501"/>
      <w:bookmarkEnd w:id="502"/>
    </w:p>
    <w:p w:rsidRPr="00AB38D8" w:rsidR="003F33CC" w:rsidP="00B71D5E" w:rsidRDefault="0029492C" w14:paraId="6F49A930" w14:textId="77777777">
      <w:pPr>
        <w:pStyle w:val="zGNormal"/>
        <w:spacing w:after="120"/>
      </w:pPr>
      <w:r>
        <w:t xml:space="preserve"> Upon the valid termination of this APA, all further obligations of the Parties will terminate, and the provisions of this APA will be of no further force or effect, in each case, other than those </w:t>
      </w:r>
      <w:r>
        <w:lastRenderedPageBreak/>
        <w:t>provisions (and obligations thereunder) that by the terms of this APA are intended to survive termination. If this APA is terminated as permitted by Section 9.1 (</w:t>
      </w:r>
      <w:r>
        <w:rPr>
          <w:i/>
          <w:iCs/>
        </w:rPr>
        <w:t>Termination</w:t>
      </w:r>
      <w:r>
        <w:t>) (other than in accordance with Section 9.1.2 (</w:t>
      </w:r>
      <w:r>
        <w:rPr>
          <w:i/>
          <w:iCs/>
        </w:rPr>
        <w:t>Termination by GPC</w:t>
      </w:r>
      <w:r>
        <w:t>) or 9.1.3 (</w:t>
      </w:r>
      <w:r>
        <w:rPr>
          <w:i/>
          <w:iCs/>
        </w:rPr>
        <w:t xml:space="preserve">Termination by </w:t>
      </w:r>
      <w:proofErr w:type="gramStart"/>
      <w:r>
        <w:rPr>
          <w:i/>
          <w:iCs/>
        </w:rPr>
        <w:t>Seller</w:t>
      </w:r>
      <w:r>
        <w:t>))</w:t>
      </w:r>
      <w:proofErr w:type="gramEnd"/>
      <w:r>
        <w:t xml:space="preserve">, the termination will be without Liability of any Party (or any Party’s Affiliates or Representatives). </w:t>
      </w:r>
    </w:p>
    <w:p w:rsidRPr="00AB38D8" w:rsidR="00754F16" w:rsidP="00754F16" w:rsidRDefault="00754F16" w14:paraId="77EC81BB" w14:textId="2CCDA2D2">
      <w:pPr>
        <w:pStyle w:val="zGNormal"/>
        <w:spacing w:after="120"/>
      </w:pPr>
      <w:r>
        <w:t>If this APA is terminated by GPC in accordance with Section 9.1.2 (</w:t>
      </w:r>
      <w:r>
        <w:rPr>
          <w:i/>
          <w:iCs/>
        </w:rPr>
        <w:t>Termination by GPC</w:t>
      </w:r>
      <w:r>
        <w:t xml:space="preserve">), Seller </w:t>
      </w:r>
      <w:r w:rsidR="006024EF">
        <w:t>must</w:t>
      </w:r>
      <w:r>
        <w:t xml:space="preserve"> pay the Seller Termination Payment to GPC within 10 days after the date of the termination. Payment of the Seller Termination Payment by Seller will be Seller’s exclusive liability, and GPC’s exclusive remedy, if this APA is terminated by GPC in accordance with Section 9.1.2. </w:t>
      </w:r>
    </w:p>
    <w:p w:rsidRPr="00AB38D8" w:rsidR="00754F16" w:rsidP="00754F16" w:rsidRDefault="00754F16" w14:paraId="4739E755" w14:textId="046E1430">
      <w:pPr>
        <w:pStyle w:val="zGNormal"/>
        <w:spacing w:after="120"/>
      </w:pPr>
      <w:r>
        <w:t xml:space="preserve">If this APA is terminated by Seller </w:t>
      </w:r>
      <w:r w:rsidR="005F24CC">
        <w:t>in accordance with</w:t>
      </w:r>
      <w:r>
        <w:t xml:space="preserve"> Section 9.1.3 (</w:t>
      </w:r>
      <w:r>
        <w:rPr>
          <w:i/>
          <w:iCs/>
        </w:rPr>
        <w:t>Termination by Seller)</w:t>
      </w:r>
      <w:r>
        <w:t xml:space="preserve">, then GPC </w:t>
      </w:r>
      <w:r w:rsidR="00723BF8">
        <w:t>must pay</w:t>
      </w:r>
      <w:r>
        <w:t xml:space="preserve"> </w:t>
      </w:r>
      <w:r w:rsidR="00723BF8">
        <w:t xml:space="preserve">the </w:t>
      </w:r>
      <w:r>
        <w:t xml:space="preserve">GPC Termination Payment to Seller within 10 days </w:t>
      </w:r>
      <w:r w:rsidR="00723BF8">
        <w:t>after</w:t>
      </w:r>
      <w:r>
        <w:t xml:space="preserve"> the date of the termination. Payment of the GPC Termination Payment by GPC will be GPC’s exclusive liability, and Seller’s exclusive remedy, </w:t>
      </w:r>
      <w:r w:rsidR="00723BF8">
        <w:t>if</w:t>
      </w:r>
      <w:r>
        <w:t xml:space="preserve"> this APA is terminated by Seller </w:t>
      </w:r>
      <w:r w:rsidR="00723BF8">
        <w:t>in accordance with</w:t>
      </w:r>
      <w:r>
        <w:t xml:space="preserve"> Section 9.1.3. </w:t>
      </w:r>
    </w:p>
    <w:p w:rsidRPr="00AB38D8" w:rsidR="0029492C" w:rsidP="00754F16" w:rsidRDefault="00754F16" w14:paraId="447FC41A" w14:textId="508768EC">
      <w:pPr>
        <w:pStyle w:val="zGNormal"/>
        <w:spacing w:after="120"/>
      </w:pPr>
      <w:r>
        <w:t>The Parties acknowledge and agree that: (I) the agreements contained in this Section 9.2 (</w:t>
      </w:r>
      <w:r>
        <w:rPr>
          <w:i/>
          <w:iCs/>
        </w:rPr>
        <w:t>Effect of Termination</w:t>
      </w:r>
      <w:r>
        <w:t xml:space="preserve">) are an integral part of the transactions contemplated by this APA; (II) it would be difficult or impossible to determine accurately the damages that GPC or Seller, as applicable, would incur if this APA were terminated in accordance with Section 9.1.2 or Section 9.1.3 respectively; (III) the Parties have estimated and agreed that the Seller Termination Payment and GPC Termination Payment, as applicable, constitutes a reasonable estimate of the monetary damages likely to be suffered by GPC or Seller, as applicable, in the circumstances; and (IV) neither the Seller Termination Payment nor the GPC Termination Payment is a penalty.  </w:t>
      </w:r>
    </w:p>
    <w:p w:rsidRPr="00AB38D8" w:rsidR="00006C6D" w:rsidP="00B71D5E" w:rsidRDefault="00006C6D" w14:paraId="7492F887" w14:textId="77777777">
      <w:pPr>
        <w:pStyle w:val="zGTC02"/>
        <w:rPr>
          <w:rFonts w:ascii="Arial" w:hAnsi="Arial" w:cs="Arial"/>
          <w:vanish/>
          <w:specVanish/>
        </w:rPr>
      </w:pPr>
      <w:bookmarkStart w:name="_Toc143607280" w:id="503"/>
      <w:bookmarkStart w:name="_Toc181639495" w:id="504"/>
      <w:bookmarkStart w:name="_Toc214644815" w:id="505"/>
      <w:bookmarkStart w:name="_Toc138350429" w:id="506"/>
      <w:r>
        <w:rPr>
          <w:rFonts w:ascii="Arial" w:hAnsi="Arial" w:cs="Arial"/>
        </w:rPr>
        <w:t>Survival.</w:t>
      </w:r>
      <w:bookmarkEnd w:id="503"/>
      <w:bookmarkEnd w:id="504"/>
      <w:bookmarkEnd w:id="505"/>
    </w:p>
    <w:p w:rsidRPr="00AB38D8" w:rsidR="00006C6D" w:rsidP="00B71D5E" w:rsidRDefault="00006C6D" w14:paraId="45554023" w14:textId="77777777">
      <w:pPr>
        <w:pStyle w:val="zGNormal"/>
        <w:spacing w:after="120"/>
      </w:pPr>
      <w:r>
        <w:t xml:space="preserve"> Section 5.5 (</w:t>
      </w:r>
      <w:r>
        <w:rPr>
          <w:i/>
          <w:iCs/>
        </w:rPr>
        <w:t>Confidentiality; Public Statements or Press Releases</w:t>
      </w:r>
      <w:r>
        <w:t>), Section 5.6 (</w:t>
      </w:r>
      <w:r>
        <w:rPr>
          <w:i/>
          <w:iCs/>
        </w:rPr>
        <w:t>Expenses</w:t>
      </w:r>
      <w:r>
        <w:t>), Section 5.8 (</w:t>
      </w:r>
      <w:r>
        <w:rPr>
          <w:i/>
          <w:iCs/>
        </w:rPr>
        <w:t>Exclusivity</w:t>
      </w:r>
      <w:r>
        <w:t>), Part 8 (</w:t>
      </w:r>
      <w:r>
        <w:rPr>
          <w:i/>
          <w:iCs/>
        </w:rPr>
        <w:t>Risk and Claims</w:t>
      </w:r>
      <w:r>
        <w:t>), Part 9 (</w:t>
      </w:r>
      <w:r>
        <w:rPr>
          <w:i/>
          <w:iCs/>
        </w:rPr>
        <w:t>Termination</w:t>
      </w:r>
      <w:r>
        <w:t>), and Part 10 (</w:t>
      </w:r>
      <w:r>
        <w:rPr>
          <w:i/>
          <w:iCs/>
        </w:rPr>
        <w:t>Miscellaneous</w:t>
      </w:r>
      <w:r>
        <w:t>) (and, in each case, the applicable definitions set forth in the Schedule of Defined Terms) will survive the termination of this APA.</w:t>
      </w:r>
    </w:p>
    <w:p w:rsidRPr="00AB38D8" w:rsidR="0029492C" w:rsidP="00B71D5E" w:rsidRDefault="0029492C" w14:paraId="728A6A89" w14:textId="77777777">
      <w:pPr>
        <w:pStyle w:val="zGTC01"/>
        <w:spacing w:before="120"/>
        <w:rPr>
          <w:rFonts w:ascii="Arial" w:hAnsi="Arial"/>
        </w:rPr>
      </w:pPr>
      <w:bookmarkStart w:name="_Toc143607281" w:id="507"/>
      <w:bookmarkStart w:name="_Toc143607309" w:id="508"/>
      <w:bookmarkStart w:name="_Toc181639496" w:id="509"/>
      <w:bookmarkStart w:name="_Toc214644816" w:id="510"/>
      <w:r>
        <w:rPr>
          <w:rFonts w:ascii="Arial" w:hAnsi="Arial"/>
        </w:rPr>
        <w:t>Miscellaneous</w:t>
      </w:r>
      <w:bookmarkEnd w:id="506"/>
      <w:bookmarkEnd w:id="507"/>
      <w:bookmarkEnd w:id="508"/>
      <w:bookmarkEnd w:id="509"/>
      <w:bookmarkEnd w:id="510"/>
    </w:p>
    <w:p w:rsidRPr="00AB38D8" w:rsidR="0029492C" w:rsidP="00B71D5E" w:rsidRDefault="0029492C" w14:paraId="4325F238" w14:textId="77777777">
      <w:pPr>
        <w:pStyle w:val="zGTC02"/>
        <w:rPr>
          <w:rFonts w:ascii="Arial" w:hAnsi="Arial" w:cs="Arial"/>
          <w:vanish/>
          <w:specVanish/>
        </w:rPr>
      </w:pPr>
      <w:bookmarkStart w:name="_Toc138350430" w:id="511"/>
      <w:bookmarkStart w:name="_Toc143607282" w:id="512"/>
      <w:bookmarkStart w:name="_Toc181639497" w:id="513"/>
      <w:bookmarkStart w:name="_Toc214644817" w:id="514"/>
      <w:r>
        <w:rPr>
          <w:rFonts w:ascii="Arial" w:hAnsi="Arial" w:cs="Arial"/>
        </w:rPr>
        <w:t>Notices.</w:t>
      </w:r>
      <w:bookmarkEnd w:id="511"/>
      <w:bookmarkEnd w:id="512"/>
      <w:bookmarkEnd w:id="513"/>
      <w:bookmarkEnd w:id="514"/>
    </w:p>
    <w:p w:rsidRPr="00AB38D8" w:rsidR="0029492C" w:rsidP="00B71D5E" w:rsidRDefault="0029492C" w14:paraId="21CA3047" w14:textId="0CE4AF3A">
      <w:pPr>
        <w:pStyle w:val="zGNormal"/>
        <w:spacing w:after="120"/>
      </w:pPr>
      <w:r>
        <w:t xml:space="preserve"> </w:t>
      </w:r>
      <w:r w:rsidRPr="226D1097" w:rsidR="3F3A5077">
        <w:rPr>
          <w:rFonts w:eastAsia="PMingLiU"/>
        </w:rPr>
        <w:t>All notices, requests,</w:t>
      </w:r>
      <w:r w:rsidRPr="226D1097" w:rsidR="57825B57">
        <w:rPr>
          <w:rFonts w:eastAsia="PMingLiU"/>
        </w:rPr>
        <w:t xml:space="preserve"> consents,</w:t>
      </w:r>
      <w:r w:rsidRPr="226D1097" w:rsidR="3F3A5077">
        <w:rPr>
          <w:rFonts w:eastAsia="PMingLiU"/>
        </w:rPr>
        <w:t xml:space="preserve"> claims, demands, waivers, and other communications under this APA must be in writing</w:t>
      </w:r>
      <w:r w:rsidRPr="226D1097" w:rsidR="1E349EA8">
        <w:rPr>
          <w:rFonts w:eastAsia="PMingLiU"/>
        </w:rPr>
        <w:t xml:space="preserve"> (email</w:t>
      </w:r>
      <w:r w:rsidRPr="226D1097" w:rsidR="30705DAC">
        <w:rPr>
          <w:rFonts w:eastAsia="PMingLiU"/>
        </w:rPr>
        <w:t xml:space="preserve"> </w:t>
      </w:r>
      <w:r w:rsidRPr="226D1097" w:rsidR="04079D75">
        <w:rPr>
          <w:rFonts w:eastAsia="PMingLiU"/>
        </w:rPr>
        <w:t xml:space="preserve">being sufficient </w:t>
      </w:r>
      <w:r w:rsidRPr="226D1097" w:rsidR="30705DAC">
        <w:rPr>
          <w:rFonts w:eastAsia="PMingLiU"/>
        </w:rPr>
        <w:t xml:space="preserve">if the </w:t>
      </w:r>
      <w:r w:rsidRPr="226D1097" w:rsidR="344F492A">
        <w:rPr>
          <w:rFonts w:eastAsia="PMingLiU"/>
        </w:rPr>
        <w:t xml:space="preserve">receiving </w:t>
      </w:r>
      <w:r w:rsidRPr="226D1097" w:rsidR="30705DAC">
        <w:rPr>
          <w:rFonts w:eastAsia="PMingLiU"/>
        </w:rPr>
        <w:t xml:space="preserve">Party provided an email address </w:t>
      </w:r>
      <w:r w:rsidRPr="226D1097" w:rsidR="3C4A2268">
        <w:rPr>
          <w:rFonts w:eastAsia="PMingLiU"/>
        </w:rPr>
        <w:t>on Exhibit A-2 (</w:t>
      </w:r>
      <w:r w:rsidRPr="226D1097" w:rsidR="3C4A2268">
        <w:rPr>
          <w:rFonts w:eastAsia="PMingLiU"/>
          <w:i/>
          <w:iCs/>
        </w:rPr>
        <w:t>Notice Contacts</w:t>
      </w:r>
      <w:r w:rsidRPr="226D1097" w:rsidR="3C4A2268">
        <w:rPr>
          <w:rFonts w:eastAsia="PMingLiU"/>
        </w:rPr>
        <w:t>)</w:t>
      </w:r>
      <w:r w:rsidRPr="226D1097" w:rsidR="1E349EA8">
        <w:rPr>
          <w:rFonts w:eastAsia="PMingLiU"/>
        </w:rPr>
        <w:t>)</w:t>
      </w:r>
      <w:r w:rsidRPr="226D1097" w:rsidR="4F437B85">
        <w:rPr>
          <w:rFonts w:eastAsia="PMingLiU"/>
        </w:rPr>
        <w:t xml:space="preserve">, must include the </w:t>
      </w:r>
      <w:r w:rsidRPr="226D1097" w:rsidR="7D7E26FB">
        <w:rPr>
          <w:rFonts w:eastAsia="PMingLiU"/>
        </w:rPr>
        <w:t>A</w:t>
      </w:r>
      <w:r w:rsidRPr="226D1097" w:rsidR="4F437B85">
        <w:rPr>
          <w:rFonts w:eastAsia="PMingLiU"/>
        </w:rPr>
        <w:t>PA title and the Facility name,</w:t>
      </w:r>
      <w:r w:rsidRPr="226D1097" w:rsidR="3F3A5077">
        <w:rPr>
          <w:rFonts w:eastAsia="Times New Roman"/>
        </w:rPr>
        <w:t xml:space="preserve"> </w:t>
      </w:r>
      <w:r w:rsidRPr="226D1097" w:rsidR="446707A1">
        <w:rPr>
          <w:rFonts w:eastAsia="Times New Roman"/>
        </w:rPr>
        <w:t xml:space="preserve">must be addressed to </w:t>
      </w:r>
      <w:r w:rsidRPr="226D1097" w:rsidR="453ED059">
        <w:rPr>
          <w:rFonts w:eastAsia="Times New Roman"/>
        </w:rPr>
        <w:t>the receiving</w:t>
      </w:r>
      <w:r w:rsidRPr="226D1097" w:rsidR="446707A1">
        <w:rPr>
          <w:rFonts w:eastAsia="Times New Roman"/>
        </w:rPr>
        <w:t xml:space="preserve"> Party’s point-of-contact </w:t>
      </w:r>
      <w:r w:rsidRPr="226D1097" w:rsidR="11E35CAA">
        <w:rPr>
          <w:rFonts w:eastAsia="Times New Roman"/>
        </w:rPr>
        <w:t>specified in Exhibit A-2</w:t>
      </w:r>
      <w:r w:rsidRPr="226D1097" w:rsidR="34DCC774">
        <w:rPr>
          <w:rFonts w:eastAsia="Times New Roman"/>
        </w:rPr>
        <w:t>,</w:t>
      </w:r>
      <w:r w:rsidRPr="226D1097" w:rsidR="07431212">
        <w:rPr>
          <w:rFonts w:eastAsia="Times New Roman"/>
        </w:rPr>
        <w:t xml:space="preserve"> </w:t>
      </w:r>
      <w:r w:rsidRPr="226D1097" w:rsidR="635C1E39">
        <w:rPr>
          <w:rFonts w:eastAsia="Times New Roman"/>
        </w:rPr>
        <w:t>and will be deemed to have been given when sent by</w:t>
      </w:r>
      <w:r w:rsidRPr="226D1097">
        <w:rPr>
          <w:rFonts w:eastAsia="Times New Roman"/>
        </w:rPr>
        <w:t>: (i) personal delivery (effective the date of delivery); (ii)</w:t>
      </w:r>
      <w:r>
        <w:t xml:space="preserve"> if the</w:t>
      </w:r>
      <w:r w:rsidR="59761D0A">
        <w:t xml:space="preserve"> </w:t>
      </w:r>
      <w:r w:rsidRPr="226D1097" w:rsidR="59761D0A">
        <w:rPr>
          <w:rFonts w:eastAsia="PMingLiU"/>
        </w:rPr>
        <w:t>receiving</w:t>
      </w:r>
      <w:r>
        <w:t xml:space="preserve"> Party has provided an email address </w:t>
      </w:r>
      <w:r w:rsidR="59761D0A">
        <w:t>on Exhibit A-2</w:t>
      </w:r>
      <w:r>
        <w:t>, email delivery (effective that date if sent by 11:59 p.m. (recipient’s time); otherwise, the next Business Day); (iii)</w:t>
      </w:r>
      <w:r w:rsidRPr="226D1097">
        <w:rPr>
          <w:rFonts w:eastAsia="Times New Roman"/>
        </w:rPr>
        <w:t xml:space="preserve"> prepaid nationally- or internationally- recognized commercial overnight courier (receipt requested; effective the next Business Day); or (iv) </w:t>
      </w:r>
      <w:r>
        <w:t>registered or certified U.S. mail, with proper postage (effective after the fourth Business Day)</w:t>
      </w:r>
      <w:r w:rsidRPr="226D1097">
        <w:rPr>
          <w:rFonts w:eastAsia="Times New Roman"/>
        </w:rPr>
        <w:t>.</w:t>
      </w:r>
    </w:p>
    <w:p w:rsidRPr="00AB38D8" w:rsidR="0029492C" w:rsidP="00B71D5E" w:rsidRDefault="0029492C" w14:paraId="64AAD6C7" w14:textId="77777777">
      <w:pPr>
        <w:pStyle w:val="zGTC02"/>
        <w:rPr>
          <w:rFonts w:ascii="Arial" w:hAnsi="Arial" w:cs="Arial"/>
          <w:vanish/>
          <w:specVanish/>
        </w:rPr>
      </w:pPr>
      <w:bookmarkStart w:name="_Toc138350431" w:id="515"/>
      <w:bookmarkStart w:name="_Toc143607283" w:id="516"/>
      <w:bookmarkStart w:name="_Toc181639498" w:id="517"/>
      <w:bookmarkStart w:name="_Toc214644818" w:id="518"/>
      <w:r>
        <w:rPr>
          <w:rFonts w:ascii="Arial" w:hAnsi="Arial" w:cs="Arial"/>
        </w:rPr>
        <w:t>Severability.</w:t>
      </w:r>
      <w:bookmarkEnd w:id="515"/>
      <w:bookmarkEnd w:id="516"/>
      <w:bookmarkEnd w:id="517"/>
      <w:bookmarkEnd w:id="518"/>
    </w:p>
    <w:p w:rsidRPr="00AB38D8" w:rsidR="0029492C" w:rsidP="00B71D5E" w:rsidRDefault="0029492C" w14:paraId="08FE78F9" w14:textId="77777777">
      <w:pPr>
        <w:pStyle w:val="zGNormal"/>
        <w:spacing w:after="120"/>
      </w:pPr>
      <w:r>
        <w:t xml:space="preserve"> The provisions of this APA are severable, and the invalidity or unenforceability of any provision will not affect the validity or enforceability of the other provisions of this APA. If any provision of this APA, or the applicability of the provision to any Person or any circumstance, is found to be invalid or unenforceable in any jurisdiction: (i) the provision or the permissible portions of the provision, or the application of the provision, as applicable, will be enforced to the fullest extent permitted by law; and (ii) the remainder of this APA and the application of the provision to other Persons or circumstances will not be affected by the invalidity or unenforceability, nor will the invalidity or unenforceability affect the validity or enforceability of this APA, or the provision, or the application of the provision, in any other jurisdiction.</w:t>
      </w:r>
    </w:p>
    <w:p w:rsidRPr="00AB38D8" w:rsidR="00F16756" w:rsidP="00B71D5E" w:rsidRDefault="00F16756" w14:paraId="2573926B" w14:textId="77777777">
      <w:pPr>
        <w:pStyle w:val="zGTC02"/>
        <w:widowControl w:val="0"/>
        <w:rPr>
          <w:rFonts w:ascii="Arial" w:hAnsi="Arial" w:cs="Arial"/>
          <w:vanish/>
          <w:specVanish/>
        </w:rPr>
      </w:pPr>
      <w:bookmarkStart w:name="_Toc143976246" w:id="519"/>
      <w:bookmarkStart w:name="_Toc181639499" w:id="520"/>
      <w:bookmarkStart w:name="_Toc214644819" w:id="521"/>
      <w:r>
        <w:rPr>
          <w:rFonts w:ascii="Arial" w:hAnsi="Arial" w:cs="Arial"/>
        </w:rPr>
        <w:t>Assignment.</w:t>
      </w:r>
      <w:bookmarkEnd w:id="519"/>
      <w:bookmarkEnd w:id="520"/>
      <w:bookmarkEnd w:id="521"/>
    </w:p>
    <w:p w:rsidRPr="00AB38D8" w:rsidR="00F16756" w:rsidP="00B71D5E" w:rsidRDefault="00F16756" w14:paraId="5DC4E1EB" w14:textId="77777777">
      <w:pPr>
        <w:pStyle w:val="zGNormal"/>
        <w:widowControl w:val="0"/>
        <w:spacing w:after="120"/>
      </w:pPr>
      <w:r>
        <w:t xml:space="preserve"> Neither this APA, nor any of the rights or obligations under this APA, may be assigned or delegated by any Party without the prior written consent of the other Party. This APA will be binding upon, inure to the benefit of, and be enforceable by, the Parties and their respective successors and permitted assigns. Any attempted assignment in violation of the terms of </w:t>
      </w:r>
      <w:proofErr w:type="gramStart"/>
      <w:r>
        <w:t>this Section</w:t>
      </w:r>
      <w:proofErr w:type="gramEnd"/>
      <w:r>
        <w:t xml:space="preserve"> 10.3 (</w:t>
      </w:r>
      <w:r>
        <w:rPr>
          <w:i/>
          <w:iCs/>
        </w:rPr>
        <w:t>Assignment</w:t>
      </w:r>
      <w:r>
        <w:t>) will be void.</w:t>
      </w:r>
    </w:p>
    <w:p w:rsidRPr="00AB38D8" w:rsidR="0029492C" w:rsidP="00B71D5E" w:rsidRDefault="0062207C" w14:paraId="651BE669" w14:textId="77777777">
      <w:pPr>
        <w:pStyle w:val="zGTC02"/>
        <w:rPr>
          <w:rFonts w:ascii="Arial" w:hAnsi="Arial" w:cs="Arial"/>
          <w:vanish/>
          <w:specVanish/>
        </w:rPr>
      </w:pPr>
      <w:bookmarkStart w:name="_Toc138350432" w:id="522"/>
      <w:bookmarkStart w:name="_Toc143607284" w:id="523"/>
      <w:bookmarkStart w:name="_Toc181639500" w:id="524"/>
      <w:bookmarkStart w:name="_Toc214644820" w:id="525"/>
      <w:r>
        <w:rPr>
          <w:rFonts w:ascii="Arial" w:hAnsi="Arial" w:cs="Arial"/>
        </w:rPr>
        <w:t>Electronic Signature.</w:t>
      </w:r>
      <w:bookmarkEnd w:id="522"/>
      <w:bookmarkEnd w:id="523"/>
      <w:bookmarkEnd w:id="524"/>
      <w:bookmarkEnd w:id="525"/>
    </w:p>
    <w:p w:rsidRPr="00AB38D8" w:rsidR="0062207C" w:rsidP="00B71D5E" w:rsidRDefault="00886C0B" w14:paraId="7A633583" w14:textId="77777777">
      <w:pPr>
        <w:pStyle w:val="zGNormal"/>
        <w:spacing w:after="120"/>
        <w:rPr>
          <w:rFonts w:eastAsia="Calibri"/>
        </w:rPr>
      </w:pPr>
      <w:r>
        <w:rPr>
          <w:rFonts w:eastAsia="Calibri"/>
        </w:rPr>
        <w:t xml:space="preserve"> This APA may be executed by handwritten signature or Electronic Signature. An “</w:t>
      </w:r>
      <w:r>
        <w:rPr>
          <w:rFonts w:eastAsia="Calibri"/>
          <w:b/>
        </w:rPr>
        <w:t>Electronic Signature</w:t>
      </w:r>
      <w:r>
        <w:rPr>
          <w:rFonts w:eastAsia="Calibri"/>
        </w:rPr>
        <w:t>” means any electronic sound, symbol, or process attached to or logically associated with a record and executed and adopted by a Person with the intent to sign the record, including facsimile or e-mail </w:t>
      </w:r>
      <w:r>
        <w:rPr>
          <w:rFonts w:eastAsia="Calibri"/>
          <w:bCs/>
        </w:rPr>
        <w:t>electronic signatures</w:t>
      </w:r>
      <w:r>
        <w:rPr>
          <w:rFonts w:eastAsia="Calibri"/>
        </w:rPr>
        <w:t>. Each Party acknowledges that electronic records and</w:t>
      </w:r>
      <w:r>
        <w:rPr>
          <w:rFonts w:eastAsia="Calibri"/>
          <w:b/>
        </w:rPr>
        <w:t> </w:t>
      </w:r>
      <w:r>
        <w:rPr>
          <w:rFonts w:eastAsia="Calibri"/>
          <w:bCs/>
        </w:rPr>
        <w:t>Electronic Signatures</w:t>
      </w:r>
      <w:r>
        <w:rPr>
          <w:rFonts w:eastAsia="Calibri"/>
        </w:rPr>
        <w:t xml:space="preserve"> may be used in connection with the execution of this APA, and </w:t>
      </w:r>
      <w:r>
        <w:rPr>
          <w:rFonts w:eastAsia="Calibri"/>
          <w:bCs/>
        </w:rPr>
        <w:t>Electronic Signatures</w:t>
      </w:r>
      <w:r>
        <w:rPr>
          <w:rFonts w:eastAsia="Calibri"/>
        </w:rPr>
        <w:t xml:space="preserve"> transmitted by electronic mail in so-called “.pdf” format will be legal and binding and will have the same full force and effect as if a paper original of this APA had been delivered and signed using a handwritten signature. Each Party: (i) agrees that an Electronic Signature, whether digital or encrypted, is intended to authenticate this APA and to have the same effect as a handwritten signature; and (ii) intends to be bound by the signature (whether original, faxed, or electronic) on any document sent or delivered by facsimile, electronic mail, or other electronic means. If a Party executes this APA by Electronic Signature, the Party expressly consents under the </w:t>
      </w:r>
      <w:r>
        <w:rPr>
          <w:rFonts w:eastAsia="Calibri"/>
          <w:bCs/>
        </w:rPr>
        <w:t>Electronic Signatures</w:t>
      </w:r>
      <w:r>
        <w:rPr>
          <w:rFonts w:eastAsia="Calibri"/>
        </w:rPr>
        <w:t xml:space="preserve"> in Global and National </w:t>
      </w:r>
      <w:r>
        <w:rPr>
          <w:rFonts w:eastAsia="Calibri"/>
        </w:rPr>
        <w:lastRenderedPageBreak/>
        <w:t>Commerce Act (“</w:t>
      </w:r>
      <w:r>
        <w:rPr>
          <w:rFonts w:eastAsia="Calibri"/>
          <w:b/>
        </w:rPr>
        <w:t>E-SIGN</w:t>
      </w:r>
      <w:r>
        <w:rPr>
          <w:rFonts w:eastAsia="Calibri"/>
        </w:rPr>
        <w:t>”), and Uniform Electronic Transactions Act as enacted in the state of Georgia (“</w:t>
      </w:r>
      <w:r>
        <w:rPr>
          <w:rFonts w:eastAsia="Calibri"/>
          <w:b/>
        </w:rPr>
        <w:t>UETA</w:t>
      </w:r>
      <w:r>
        <w:rPr>
          <w:rFonts w:eastAsia="Calibri"/>
        </w:rPr>
        <w:t>”), that a signature by fax, email, or other electronic means will constitute an Electronic Signature to an Electronic Record under both E-SIGN and UETA regarding this transaction.</w:t>
      </w:r>
    </w:p>
    <w:p w:rsidRPr="00AB38D8" w:rsidR="00E066E1" w:rsidP="00B71D5E" w:rsidRDefault="0062207C" w14:paraId="4B08EDF5" w14:textId="77777777">
      <w:pPr>
        <w:pStyle w:val="zGTC02"/>
        <w:rPr>
          <w:rFonts w:ascii="Arial" w:hAnsi="Arial" w:cs="Arial"/>
          <w:vanish/>
          <w:specVanish/>
        </w:rPr>
      </w:pPr>
      <w:bookmarkStart w:name="_Toc143607285" w:id="526"/>
      <w:bookmarkStart w:name="_Toc181639501" w:id="527"/>
      <w:bookmarkStart w:name="_Toc214644821" w:id="528"/>
      <w:r>
        <w:rPr>
          <w:rFonts w:ascii="Arial" w:hAnsi="Arial" w:cs="Arial"/>
        </w:rPr>
        <w:t>Digital or Electronic Signature.</w:t>
      </w:r>
      <w:bookmarkEnd w:id="526"/>
      <w:bookmarkEnd w:id="527"/>
      <w:bookmarkEnd w:id="528"/>
    </w:p>
    <w:p w:rsidRPr="00AB38D8" w:rsidR="00925BF9" w:rsidP="00B71D5E" w:rsidRDefault="00E066E1" w14:paraId="309DA426" w14:textId="77777777">
      <w:pPr>
        <w:pStyle w:val="zGNormal"/>
        <w:spacing w:after="120"/>
      </w:pPr>
      <w:r>
        <w:t xml:space="preserve"> In addition to this APA, any other documents to be delivered in connection with this APA may be executed by handwritten signature or Electronic Signature. Each Party acknowledges that any digital or Electronic Signature (including pdf, facsimile, or electronically imaged signatures provided by </w:t>
      </w:r>
      <w:proofErr w:type="spellStart"/>
      <w:r>
        <w:t>DocuSign</w:t>
      </w:r>
      <w:proofErr w:type="spellEnd"/>
      <w:r>
        <w:t xml:space="preserve"> or any other digital signature provider) appearing on this APA or other documents to be delivered in connection with this APA are the same as handwritten signatures for the purposes of validity, enforceability, or admissibility, and that delivery to the other Party of an Electronic Signature, or a signed copy of, this APA and related documents may be made by facsimile, email, or other electronic transmission. </w:t>
      </w:r>
    </w:p>
    <w:p w:rsidRPr="00AB38D8" w:rsidR="0029492C" w:rsidP="00B71D5E" w:rsidRDefault="001E564A" w14:paraId="2AAF1EF9" w14:textId="77777777">
      <w:pPr>
        <w:pStyle w:val="zGTC02"/>
        <w:rPr>
          <w:rFonts w:ascii="Arial" w:hAnsi="Arial" w:cs="Arial"/>
          <w:vanish/>
          <w:specVanish/>
        </w:rPr>
      </w:pPr>
      <w:bookmarkStart w:name="_Toc138350433" w:id="529"/>
      <w:bookmarkStart w:name="_Toc143607286" w:id="530"/>
      <w:bookmarkStart w:name="_Toc181639502" w:id="531"/>
      <w:bookmarkStart w:name="_Toc214644822" w:id="532"/>
      <w:r>
        <w:rPr>
          <w:rFonts w:ascii="Arial" w:hAnsi="Arial" w:cs="Arial"/>
        </w:rPr>
        <w:t>Counterparts.</w:t>
      </w:r>
      <w:bookmarkEnd w:id="529"/>
      <w:bookmarkEnd w:id="530"/>
      <w:bookmarkEnd w:id="531"/>
      <w:bookmarkEnd w:id="532"/>
    </w:p>
    <w:p w:rsidRPr="00AB38D8" w:rsidR="001E564A" w:rsidP="00B71D5E" w:rsidRDefault="0029492C" w14:paraId="1B43EFC8" w14:textId="77777777">
      <w:pPr>
        <w:pStyle w:val="zGNormal"/>
        <w:spacing w:after="120"/>
      </w:pPr>
      <w:r>
        <w:t xml:space="preserve"> This APA may be executed in multiple counterparts, and by electronic transmission of signatures in portable document format (PDF) or other electronic format, each of which will be deemed an original and all of which, taken together, will constitute one and the same agreement.</w:t>
      </w:r>
    </w:p>
    <w:p w:rsidRPr="00AB38D8" w:rsidR="001E564A" w:rsidP="00B71D5E" w:rsidRDefault="001E564A" w14:paraId="18527D69" w14:textId="77777777">
      <w:pPr>
        <w:pStyle w:val="zGTC02"/>
        <w:rPr>
          <w:rFonts w:ascii="Arial" w:hAnsi="Arial" w:cs="Arial"/>
          <w:vanish/>
          <w:specVanish/>
        </w:rPr>
      </w:pPr>
      <w:bookmarkStart w:name="_Toc143607287" w:id="533"/>
      <w:bookmarkStart w:name="_Toc181639503" w:id="534"/>
      <w:bookmarkStart w:name="_Toc214644823" w:id="535"/>
      <w:r>
        <w:rPr>
          <w:rFonts w:ascii="Arial" w:hAnsi="Arial" w:cs="Arial"/>
        </w:rPr>
        <w:t>Entire Agreement; No Third-Party Beneficiaries.</w:t>
      </w:r>
      <w:bookmarkEnd w:id="533"/>
      <w:bookmarkEnd w:id="534"/>
      <w:bookmarkEnd w:id="535"/>
    </w:p>
    <w:p w:rsidRPr="00AB38D8" w:rsidR="0029492C" w:rsidP="00B71D5E" w:rsidRDefault="001E564A" w14:paraId="2FA1F000" w14:textId="7415AEDA">
      <w:pPr>
        <w:pStyle w:val="zGNormal"/>
        <w:spacing w:after="120"/>
      </w:pPr>
      <w:r>
        <w:t xml:space="preserve"> This APA (together with any other Transaction Document, exhibit, schedule, and certificate referred to in this APA or the other Transaction Documents, or delivered under this APA or the other Transaction Documents on or </w:t>
      </w:r>
      <w:r w:rsidR="001C0BA0">
        <w:t>before</w:t>
      </w:r>
      <w:r>
        <w:t xml:space="preserve"> the Effective Date) constitute the entire agreement and supersede all prior agreements and understandings, both written and oral, among the Parties with respect to the subject matter hereof. Except as set forth in Part 8 (</w:t>
      </w:r>
      <w:r>
        <w:rPr>
          <w:i/>
          <w:iCs/>
        </w:rPr>
        <w:t>Risk and Claims</w:t>
      </w:r>
      <w:r>
        <w:t>), the terms and conditions of this APA are intended solely for the benefit of the Parties, their respective successors or permitted assigns, and it is not the intention of the Parties to confer third-party beneficiary rights upon any other Person.</w:t>
      </w:r>
    </w:p>
    <w:p w:rsidRPr="00AB38D8" w:rsidR="00113B44" w:rsidP="00113B44" w:rsidRDefault="569E544D" w14:paraId="7280F515" w14:textId="77777777">
      <w:pPr>
        <w:pStyle w:val="zGTC02"/>
        <w:rPr>
          <w:rFonts w:ascii="Arial" w:hAnsi="Arial" w:cs="Arial"/>
          <w:vanish/>
          <w:specVanish/>
        </w:rPr>
      </w:pPr>
      <w:bookmarkStart w:name="_Toc138350434" w:id="536"/>
      <w:bookmarkStart w:name="_Toc143607288" w:id="537"/>
      <w:bookmarkStart w:name="_Toc181639504" w:id="538"/>
      <w:bookmarkStart w:name="_Toc214644824" w:id="539"/>
      <w:r>
        <w:t>Dispute Resolution; Governing Law.</w:t>
      </w:r>
      <w:bookmarkEnd w:id="536"/>
      <w:bookmarkEnd w:id="537"/>
      <w:bookmarkEnd w:id="538"/>
      <w:bookmarkEnd w:id="539"/>
    </w:p>
    <w:p w:rsidRPr="00AB38D8" w:rsidR="00871758" w:rsidP="00CE3137" w:rsidRDefault="00871758" w14:paraId="58471299" w14:textId="77777777">
      <w:pPr>
        <w:pStyle w:val="zGTC03"/>
      </w:pPr>
    </w:p>
    <w:p w:rsidRPr="00CE3137" w:rsidR="0078511A" w:rsidP="00EC532C" w:rsidRDefault="0078511A" w14:paraId="39A16E0B" w14:textId="77777777">
      <w:pPr>
        <w:pStyle w:val="zGTC03"/>
        <w:numPr>
          <w:ilvl w:val="2"/>
          <w:numId w:val="22"/>
        </w:numPr>
      </w:pPr>
      <w:bookmarkStart w:name="_Toc138350435" w:id="540"/>
      <w:bookmarkStart w:name="_Toc143607289" w:id="541"/>
      <w:r>
        <w:rPr>
          <w:b/>
          <w:bCs/>
        </w:rPr>
        <w:t>Dispute Resolution.</w:t>
      </w:r>
      <w:r>
        <w:t xml:space="preserve"> </w:t>
      </w:r>
      <w:r>
        <w:rPr>
          <w:rFonts w:eastAsia="Arial"/>
        </w:rPr>
        <w:t>Each Party (“</w:t>
      </w:r>
      <w:r>
        <w:rPr>
          <w:rFonts w:eastAsia="Arial"/>
          <w:b/>
          <w:bCs/>
        </w:rPr>
        <w:t>Disputing Party</w:t>
      </w:r>
      <w:r>
        <w:rPr>
          <w:rFonts w:eastAsia="Arial"/>
        </w:rPr>
        <w:t>”) has the right to give notice to the other Party (“</w:t>
      </w:r>
      <w:r>
        <w:rPr>
          <w:rFonts w:eastAsia="Arial"/>
          <w:b/>
          <w:bCs/>
        </w:rPr>
        <w:t>Responding Party</w:t>
      </w:r>
      <w:r>
        <w:rPr>
          <w:rFonts w:eastAsia="Arial"/>
        </w:rPr>
        <w:t>”) that the Responding Party is not performing in accordance with the terms and conditions of this APA. This notice (“</w:t>
      </w:r>
      <w:r>
        <w:rPr>
          <w:rFonts w:eastAsia="Arial"/>
          <w:b/>
          <w:bCs/>
        </w:rPr>
        <w:t>Notice of Dispute</w:t>
      </w:r>
      <w:r>
        <w:rPr>
          <w:rFonts w:eastAsia="Arial"/>
        </w:rPr>
        <w:t>”) will describe with specificity the basis for the Disputing Party’s belief and may propose a resolution of the dispute. Within 15 Business Days after receiving the Notice of Dispute, the Responding Party will provide the Disputing Party with a written response to the Notice of Dispute, describing with specificity the basis for the Responding Party’s position, and which may include: (i) additional issues (if any) with respect to the dispute raised by the Notice of Dispute; and (ii) a proposal for the resolution of the dispute (“</w:t>
      </w:r>
      <w:r>
        <w:rPr>
          <w:rFonts w:eastAsia="Arial"/>
          <w:b/>
          <w:bCs/>
        </w:rPr>
        <w:t>Dispute Response</w:t>
      </w:r>
      <w:r>
        <w:rPr>
          <w:rFonts w:eastAsia="Arial"/>
        </w:rPr>
        <w:t xml:space="preserve">”). Within five Business Days after the submission of the Dispute Response, the dispute will be submitted to a designated senior Representative of Seller and a designated senior Representative of GPC for resolution. If the designated senior Representatives are unable to resolve the dispute to the mutual satisfaction of the Parties within 20 Business Days after the submission to the designated senior Representatives, or any other period as the Parties may agree in writing, then either Party may pursue any rights and remedies as may be available under applicable </w:t>
      </w:r>
      <w:r>
        <w:t>law</w:t>
      </w:r>
      <w:r>
        <w:rPr>
          <w:rFonts w:eastAsia="Arial"/>
        </w:rPr>
        <w:t>, subject to the terms and conditions of this APA.</w:t>
      </w:r>
    </w:p>
    <w:p w:rsidRPr="005921C0" w:rsidR="0078511A" w:rsidP="0078511A" w:rsidRDefault="0078511A" w14:paraId="01077C82" w14:textId="77777777">
      <w:pPr>
        <w:pStyle w:val="zGTC03"/>
      </w:pPr>
      <w:r>
        <w:rPr>
          <w:b/>
          <w:bCs/>
        </w:rPr>
        <w:t>Governing Law.</w:t>
      </w:r>
      <w:r>
        <w:rPr>
          <w:b/>
        </w:rPr>
        <w:t xml:space="preserve"> </w:t>
      </w:r>
      <w:r>
        <w:t>The validity, interpretation, and performance of this APA, and each of its provisions, will be governed by the laws of the state of Georgia without giving effect to principles of conflicts of law that would require the application of laws of another jurisdiction.</w:t>
      </w:r>
    </w:p>
    <w:p w:rsidRPr="005921C0" w:rsidR="0099446F" w:rsidP="00B71D5E" w:rsidRDefault="00FE12E1" w14:paraId="174038E8" w14:textId="77777777">
      <w:pPr>
        <w:pStyle w:val="zGTC02"/>
        <w:rPr>
          <w:rFonts w:ascii="Arial" w:hAnsi="Arial" w:cs="Arial"/>
          <w:vanish/>
          <w:specVanish/>
        </w:rPr>
      </w:pPr>
      <w:bookmarkStart w:name="_Toc181639505" w:id="542"/>
      <w:bookmarkStart w:name="_Toc214644825" w:id="543"/>
      <w:r>
        <w:rPr>
          <w:rFonts w:ascii="Arial" w:hAnsi="Arial" w:cs="Arial"/>
        </w:rPr>
        <w:t>Consent to Jurisdiction.</w:t>
      </w:r>
      <w:bookmarkEnd w:id="540"/>
      <w:bookmarkEnd w:id="542"/>
      <w:bookmarkEnd w:id="543"/>
    </w:p>
    <w:p w:rsidRPr="001E18CD" w:rsidR="0029492C" w:rsidP="00B71D5E" w:rsidRDefault="009815AA" w14:paraId="15D3E02C" w14:textId="5BCFD450">
      <w:pPr>
        <w:pStyle w:val="zGNormal"/>
        <w:spacing w:after="120"/>
        <w:rPr>
          <w:b/>
          <w:bCs/>
        </w:rPr>
      </w:pPr>
      <w:r>
        <w:t xml:space="preserve"> </w:t>
      </w:r>
      <w:r w:rsidRPr="001E18CD">
        <w:rPr>
          <w:b/>
          <w:bCs/>
          <w:u w:val="single"/>
        </w:rPr>
        <w:t>Any legal suit, action</w:t>
      </w:r>
      <w:r w:rsidRPr="001E18CD" w:rsidR="00667B3D">
        <w:rPr>
          <w:b/>
          <w:bCs/>
          <w:u w:val="single"/>
        </w:rPr>
        <w:t>,</w:t>
      </w:r>
      <w:r w:rsidRPr="001E18CD">
        <w:rPr>
          <w:b/>
          <w:bCs/>
          <w:u w:val="single"/>
        </w:rPr>
        <w:t xml:space="preserve"> or proceeding arising out of or based on this APA or the transactions contemplated by this APA </w:t>
      </w:r>
      <w:r w:rsidRPr="001E18CD" w:rsidR="00FF4C44">
        <w:rPr>
          <w:b/>
          <w:bCs/>
          <w:u w:val="single"/>
        </w:rPr>
        <w:t>must</w:t>
      </w:r>
      <w:r w:rsidRPr="001E18CD">
        <w:rPr>
          <w:b/>
          <w:bCs/>
          <w:u w:val="single"/>
        </w:rPr>
        <w:t xml:space="preserve"> be brought in </w:t>
      </w:r>
      <w:r w:rsidRPr="001E18CD" w:rsidR="0018011E">
        <w:rPr>
          <w:b/>
          <w:bCs/>
          <w:u w:val="single"/>
        </w:rPr>
        <w:t>a federal or state court</w:t>
      </w:r>
      <w:r w:rsidRPr="001E18CD">
        <w:rPr>
          <w:b/>
          <w:bCs/>
          <w:u w:val="single"/>
        </w:rPr>
        <w:t xml:space="preserve"> </w:t>
      </w:r>
      <w:r w:rsidRPr="001E18CD" w:rsidR="00213CE6">
        <w:rPr>
          <w:b/>
          <w:bCs/>
          <w:u w:val="single"/>
        </w:rPr>
        <w:t xml:space="preserve">located </w:t>
      </w:r>
      <w:r w:rsidRPr="001E18CD" w:rsidR="005670A0">
        <w:rPr>
          <w:b/>
          <w:bCs/>
          <w:u w:val="single"/>
        </w:rPr>
        <w:t>in</w:t>
      </w:r>
      <w:r w:rsidRPr="001E18CD" w:rsidR="00667B3D">
        <w:rPr>
          <w:b/>
          <w:bCs/>
          <w:u w:val="single"/>
        </w:rPr>
        <w:t xml:space="preserve"> the </w:t>
      </w:r>
      <w:r w:rsidR="00FA2191">
        <w:rPr>
          <w:b/>
          <w:bCs/>
          <w:u w:val="single"/>
        </w:rPr>
        <w:t>S</w:t>
      </w:r>
      <w:r w:rsidRPr="001E18CD" w:rsidR="00667B3D">
        <w:rPr>
          <w:b/>
          <w:bCs/>
          <w:u w:val="single"/>
        </w:rPr>
        <w:t xml:space="preserve">tate of </w:t>
      </w:r>
      <w:r w:rsidRPr="001E18CD">
        <w:rPr>
          <w:b/>
          <w:bCs/>
          <w:u w:val="single"/>
        </w:rPr>
        <w:t xml:space="preserve">Georgia, and each Party irrevocably submits to the exclusive jurisdiction of those courts. </w:t>
      </w:r>
      <w:r w:rsidRPr="00944B51" w:rsidR="00944B51">
        <w:rPr>
          <w:b/>
          <w:bCs/>
          <w:u w:val="single"/>
        </w:rPr>
        <w:t>Each Party irrevocably and unconditionally waives any objection to the laying of venue in those courts and agrees not to plead or claim in those courts that any suit, action, or proceeding has been brought in an inconvenient forum</w:t>
      </w:r>
      <w:r w:rsidRPr="001E18CD">
        <w:rPr>
          <w:b/>
          <w:bCs/>
        </w:rPr>
        <w:t>.</w:t>
      </w:r>
      <w:bookmarkEnd w:id="541"/>
    </w:p>
    <w:p w:rsidRPr="00B71D5E" w:rsidR="0029492C" w:rsidP="00B71D5E" w:rsidRDefault="0029492C" w14:paraId="7C4BA653" w14:textId="77777777">
      <w:pPr>
        <w:pStyle w:val="zGTC02"/>
        <w:rPr>
          <w:rFonts w:ascii="Arial" w:hAnsi="Arial" w:cs="Arial"/>
          <w:vanish/>
          <w:specVanish/>
        </w:rPr>
      </w:pPr>
      <w:bookmarkStart w:name="_Toc138350437" w:id="544"/>
      <w:bookmarkStart w:name="_Toc143607291" w:id="545"/>
      <w:bookmarkStart w:name="_Toc181639506" w:id="546"/>
      <w:bookmarkStart w:name="_Toc214644826" w:id="547"/>
      <w:r>
        <w:rPr>
          <w:rFonts w:ascii="Arial" w:hAnsi="Arial" w:cs="Arial"/>
        </w:rPr>
        <w:t>Headings.</w:t>
      </w:r>
      <w:bookmarkEnd w:id="544"/>
      <w:bookmarkEnd w:id="545"/>
      <w:bookmarkEnd w:id="546"/>
      <w:bookmarkEnd w:id="547"/>
    </w:p>
    <w:p w:rsidRPr="00B71D5E" w:rsidR="0029492C" w:rsidP="00B71D5E" w:rsidRDefault="0029492C" w14:paraId="7D38B865" w14:textId="77777777">
      <w:pPr>
        <w:pStyle w:val="zGNormal"/>
        <w:spacing w:after="120"/>
      </w:pPr>
      <w:r>
        <w:t xml:space="preserve"> The headings contained in this APA are for reference purposes only and will not affect in any way the meaning or interpretation of this APA.</w:t>
      </w:r>
    </w:p>
    <w:p w:rsidRPr="00B71D5E" w:rsidR="00344406" w:rsidP="00B71D5E" w:rsidRDefault="00344406" w14:paraId="0406F50E" w14:textId="77777777">
      <w:pPr>
        <w:pStyle w:val="zGTC02"/>
        <w:rPr>
          <w:rFonts w:ascii="Arial" w:hAnsi="Arial" w:cs="Arial"/>
          <w:vanish/>
          <w:specVanish/>
        </w:rPr>
      </w:pPr>
      <w:bookmarkStart w:name="_Toc491307994" w:id="548"/>
      <w:bookmarkStart w:name="_Toc98170130" w:id="549"/>
      <w:bookmarkStart w:name="_Ref118069357" w:id="550"/>
      <w:bookmarkStart w:name="_Toc121155336" w:id="551"/>
      <w:bookmarkStart w:name="_Toc120753011" w:id="552"/>
      <w:bookmarkStart w:name="_Toc134098136" w:id="553"/>
      <w:bookmarkStart w:name="_Toc134098220" w:id="554"/>
      <w:bookmarkStart w:name="_Toc134098556" w:id="555"/>
      <w:bookmarkStart w:name="_Toc135838224" w:id="556"/>
      <w:bookmarkStart w:name="_Toc143607292" w:id="557"/>
      <w:bookmarkStart w:name="_Toc181639507" w:id="558"/>
      <w:bookmarkStart w:name="_Toc214644827" w:id="559"/>
      <w:r>
        <w:rPr>
          <w:rFonts w:ascii="Arial" w:hAnsi="Arial" w:cs="Arial"/>
        </w:rPr>
        <w:t>Contract Interpretation.</w:t>
      </w:r>
      <w:bookmarkEnd w:id="548"/>
      <w:bookmarkEnd w:id="549"/>
      <w:bookmarkEnd w:id="550"/>
      <w:bookmarkEnd w:id="551"/>
      <w:bookmarkEnd w:id="552"/>
      <w:bookmarkEnd w:id="553"/>
      <w:bookmarkEnd w:id="554"/>
      <w:bookmarkEnd w:id="555"/>
      <w:bookmarkEnd w:id="556"/>
      <w:bookmarkEnd w:id="557"/>
      <w:bookmarkEnd w:id="558"/>
      <w:bookmarkEnd w:id="559"/>
    </w:p>
    <w:p w:rsidRPr="00B71D5E" w:rsidR="00344406" w:rsidP="00B71D5E" w:rsidRDefault="009815AA" w14:paraId="19F3BF07" w14:textId="77777777">
      <w:pPr>
        <w:pStyle w:val="zGTC03"/>
        <w:numPr>
          <w:ilvl w:val="0"/>
          <w:numId w:val="0"/>
        </w:numPr>
        <w:rPr>
          <w:rFonts w:cs="Arial"/>
        </w:rPr>
      </w:pPr>
      <w:r>
        <w:rPr>
          <w:rFonts w:cs="Arial"/>
        </w:rPr>
        <w:t xml:space="preserve"> Each exhibit, attachment, appendix, schedule, regulatory requirement, policy, procedure, standard, or other document attached to or referenced in this APA (</w:t>
      </w:r>
      <w:proofErr w:type="gramStart"/>
      <w:r>
        <w:rPr>
          <w:rFonts w:cs="Arial"/>
        </w:rPr>
        <w:t>expressly</w:t>
      </w:r>
      <w:proofErr w:type="gramEnd"/>
      <w:r>
        <w:rPr>
          <w:rFonts w:cs="Arial"/>
        </w:rPr>
        <w:t xml:space="preserve"> including the </w:t>
      </w:r>
      <w:r>
        <w:rPr>
          <w:rFonts w:cs="Arial"/>
          <w:i/>
        </w:rPr>
        <w:t>Schedule of Defined Terms</w:t>
      </w:r>
      <w:r>
        <w:rPr>
          <w:rFonts w:cs="Arial"/>
        </w:rPr>
        <w:t>) is incorporated into, and is integral to, this APA as if included in the main body. In this APA and in all attached or incorporated documents: (i) whenever the term “</w:t>
      </w:r>
      <w:r>
        <w:rPr>
          <w:rFonts w:cs="Arial"/>
          <w:b/>
        </w:rPr>
        <w:t>include</w:t>
      </w:r>
      <w:r>
        <w:rPr>
          <w:rFonts w:cs="Arial"/>
        </w:rPr>
        <w:t>,” “</w:t>
      </w:r>
      <w:r>
        <w:rPr>
          <w:rFonts w:cs="Arial"/>
          <w:b/>
        </w:rPr>
        <w:t>including</w:t>
      </w:r>
      <w:r>
        <w:rPr>
          <w:rFonts w:cs="Arial"/>
        </w:rPr>
        <w:t>,” or “</w:t>
      </w:r>
      <w:r>
        <w:rPr>
          <w:rFonts w:cs="Arial"/>
          <w:b/>
        </w:rPr>
        <w:t>e.g.</w:t>
      </w:r>
      <w:r>
        <w:rPr>
          <w:rFonts w:cs="Arial"/>
        </w:rPr>
        <w:t>” is used in connection with a listing of items included within or an example of the prior reference, the listing will be interpreted to be illustrative only, and will not be interpreted as a limitation on or exclusive listing of the items included in the prior reference; and (ii) “</w:t>
      </w:r>
      <w:r>
        <w:rPr>
          <w:rFonts w:cs="Arial"/>
          <w:b/>
        </w:rPr>
        <w:t>or</w:t>
      </w:r>
      <w:r>
        <w:rPr>
          <w:rFonts w:cs="Arial"/>
        </w:rPr>
        <w:t xml:space="preserve">” means either or all (i.e., “A or B” means “A or B or both A and B”). Unless otherwise specified, a reference to a given agreement or document, and all the schedules, exhibits, appendices, and attachments to the agreement or document, will be a reference to that agreement or document as modified, </w:t>
      </w:r>
      <w:r>
        <w:rPr>
          <w:rFonts w:cs="Arial"/>
        </w:rPr>
        <w:lastRenderedPageBreak/>
        <w:t>amended, supplemented, or restated, and in effect from time to time. Whenever the term “</w:t>
      </w:r>
      <w:r>
        <w:rPr>
          <w:rFonts w:cs="Arial"/>
          <w:b/>
        </w:rPr>
        <w:t>consent</w:t>
      </w:r>
      <w:r>
        <w:rPr>
          <w:rFonts w:cs="Arial"/>
        </w:rPr>
        <w:t>” or “</w:t>
      </w:r>
      <w:r>
        <w:rPr>
          <w:rFonts w:cs="Arial"/>
          <w:b/>
        </w:rPr>
        <w:t>approval</w:t>
      </w:r>
      <w:r>
        <w:rPr>
          <w:rFonts w:cs="Arial"/>
        </w:rPr>
        <w:t>” is used, the consent or approval will not be unreasonably withheld, conditioned, or delayed by the consenting or approving Party, unless this APA provides that the consent or approval is in the sole discretion of the consenting Party. If the Party has provided email contact information, “</w:t>
      </w:r>
      <w:r>
        <w:rPr>
          <w:rFonts w:cs="Arial"/>
          <w:b/>
        </w:rPr>
        <w:t>written</w:t>
      </w:r>
      <w:r>
        <w:rPr>
          <w:rFonts w:cs="Arial"/>
        </w:rPr>
        <w:t>” or “</w:t>
      </w:r>
      <w:r>
        <w:rPr>
          <w:rFonts w:cs="Arial"/>
          <w:b/>
        </w:rPr>
        <w:t>in writing</w:t>
      </w:r>
      <w:r>
        <w:rPr>
          <w:rFonts w:cs="Arial"/>
        </w:rPr>
        <w:t xml:space="preserve">” includes email communication, absent express statement otherwise. </w:t>
      </w:r>
    </w:p>
    <w:p w:rsidRPr="00B71D5E" w:rsidR="00344406" w:rsidP="00B71D5E" w:rsidRDefault="00344406" w14:paraId="36F43813" w14:textId="77777777">
      <w:pPr>
        <w:pStyle w:val="zGTC03"/>
        <w:numPr>
          <w:ilvl w:val="0"/>
          <w:numId w:val="0"/>
        </w:numPr>
        <w:rPr>
          <w:rFonts w:cs="Arial"/>
        </w:rPr>
      </w:pPr>
      <w:r>
        <w:rPr>
          <w:rFonts w:cs="Arial"/>
        </w:rPr>
        <w:t xml:space="preserve">Reference to: (i) a Party or Person includes any allowed successor or assign; (ii) a regulatory authority includes an authority succeeding </w:t>
      </w:r>
      <w:proofErr w:type="gramStart"/>
      <w:r>
        <w:rPr>
          <w:rFonts w:cs="Arial"/>
        </w:rPr>
        <w:t>to</w:t>
      </w:r>
      <w:proofErr w:type="gramEnd"/>
      <w:r>
        <w:rPr>
          <w:rFonts w:cs="Arial"/>
        </w:rPr>
        <w:t xml:space="preserve"> the same function; and (iii) an applicable </w:t>
      </w:r>
      <w:r>
        <w:t>law</w:t>
      </w:r>
      <w:r>
        <w:rPr>
          <w:rFonts w:cs="Arial"/>
        </w:rPr>
        <w:t xml:space="preserve"> is to the </w:t>
      </w:r>
      <w:r>
        <w:t>law</w:t>
      </w:r>
      <w:r>
        <w:rPr>
          <w:rFonts w:cs="Arial"/>
        </w:rPr>
        <w:t xml:space="preserve"> as modified or amended and then effective. </w:t>
      </w:r>
      <w:r>
        <w:rPr>
          <w:rFonts w:eastAsia="PMingLiU" w:cs="Arial"/>
        </w:rPr>
        <w:t>Reference to an APA part by caption (</w:t>
      </w:r>
      <w:r>
        <w:rPr>
          <w:rFonts w:eastAsia="PMingLiU" w:cs="Arial"/>
          <w:iCs/>
        </w:rPr>
        <w:t>e.g.</w:t>
      </w:r>
      <w:r>
        <w:rPr>
          <w:rFonts w:eastAsia="PMingLiU" w:cs="Arial"/>
        </w:rPr>
        <w:t>, (</w:t>
      </w:r>
      <w:r>
        <w:rPr>
          <w:rFonts w:eastAsia="PMingLiU" w:cs="Arial"/>
          <w:i/>
          <w:iCs/>
        </w:rPr>
        <w:t>Conditions Precedent</w:t>
      </w:r>
      <w:r>
        <w:rPr>
          <w:rFonts w:eastAsia="PMingLiU" w:cs="Arial"/>
        </w:rPr>
        <w:t>) or number (e.g., Part 6 (</w:t>
      </w:r>
      <w:r>
        <w:rPr>
          <w:rFonts w:eastAsia="PMingLiU" w:cs="Arial"/>
          <w:i/>
          <w:iCs/>
        </w:rPr>
        <w:t>Conditions Precedent</w:t>
      </w:r>
      <w:r>
        <w:rPr>
          <w:rFonts w:eastAsia="PMingLiU" w:cs="Arial"/>
        </w:rPr>
        <w:t>)) includes all separate sections (e.g., Section 6.3 (</w:t>
      </w:r>
      <w:r>
        <w:rPr>
          <w:rFonts w:eastAsia="PMingLiU" w:cs="Arial"/>
          <w:i/>
          <w:iCs/>
        </w:rPr>
        <w:t>Conditions to Obligations of Seller</w:t>
      </w:r>
      <w:r>
        <w:rPr>
          <w:rFonts w:eastAsia="PMingLiU" w:cs="Arial"/>
        </w:rPr>
        <w:t xml:space="preserve">) and clauses (e.g., </w:t>
      </w:r>
      <w:r>
        <w:t xml:space="preserve">Section </w:t>
      </w:r>
      <w:r>
        <w:rPr>
          <w:rFonts w:eastAsia="PMingLiU" w:cs="Arial"/>
        </w:rPr>
        <w:t>6.3.1 (</w:t>
      </w:r>
      <w:r>
        <w:rPr>
          <w:rFonts w:eastAsia="PMingLiU" w:cs="Arial"/>
          <w:i/>
          <w:iCs/>
        </w:rPr>
        <w:t>GPC’s Representations and Warranties</w:t>
      </w:r>
      <w:r>
        <w:rPr>
          <w:rFonts w:eastAsia="PMingLiU" w:cs="Arial"/>
        </w:rPr>
        <w:t>)) within that part and reference to a section by caption or number includes all separate subsections within that section.</w:t>
      </w:r>
      <w:r>
        <w:rPr>
          <w:rFonts w:cs="Arial"/>
        </w:rPr>
        <w:t xml:space="preserve"> </w:t>
      </w:r>
    </w:p>
    <w:p w:rsidRPr="00B71D5E" w:rsidR="00344406" w:rsidP="00B71D5E" w:rsidRDefault="00344406" w14:paraId="52180426" w14:textId="77777777">
      <w:pPr>
        <w:pStyle w:val="zGTC03"/>
        <w:numPr>
          <w:ilvl w:val="0"/>
          <w:numId w:val="0"/>
        </w:numPr>
        <w:rPr>
          <w:rFonts w:cs="Arial"/>
        </w:rPr>
      </w:pPr>
      <w:r>
        <w:rPr>
          <w:rFonts w:cs="Arial"/>
        </w:rPr>
        <w:t>A defined term may be singular or plural, as the context requires, and, absent an express statement otherwise, each defined term has the same meaning in all APA documents. Captions are for convenience only, and do not affect APA interpretation.</w:t>
      </w:r>
    </w:p>
    <w:p w:rsidRPr="00B71D5E" w:rsidR="0029492C" w:rsidP="00B71D5E" w:rsidRDefault="0029492C" w14:paraId="7E63F813" w14:textId="77777777">
      <w:pPr>
        <w:pStyle w:val="zGTC03"/>
        <w:numPr>
          <w:ilvl w:val="0"/>
          <w:numId w:val="0"/>
        </w:numPr>
        <w:rPr>
          <w:rFonts w:cs="Arial"/>
        </w:rPr>
      </w:pPr>
      <w:r>
        <w:rPr>
          <w:rFonts w:cs="Arial"/>
          <w:szCs w:val="20"/>
        </w:rPr>
        <w:t xml:space="preserve">Time is of the essence in this APA. Whenever this APA refers to </w:t>
      </w:r>
      <w:proofErr w:type="gramStart"/>
      <w:r>
        <w:rPr>
          <w:rFonts w:cs="Arial"/>
          <w:szCs w:val="20"/>
        </w:rPr>
        <w:t>a number of</w:t>
      </w:r>
      <w:proofErr w:type="gramEnd"/>
      <w:r>
        <w:rPr>
          <w:rFonts w:cs="Arial"/>
          <w:szCs w:val="20"/>
        </w:rPr>
        <w:t xml:space="preserve"> days, the number will refer to calendar days unless Business Days are specified, and any date specified for action that is not a Business Day will mean the first Business Day after the applicable date. Relative to the determination of any </w:t>
      </w:r>
      <w:proofErr w:type="gramStart"/>
      <w:r>
        <w:rPr>
          <w:rFonts w:cs="Arial"/>
          <w:szCs w:val="20"/>
        </w:rPr>
        <w:t>period of time</w:t>
      </w:r>
      <w:proofErr w:type="gramEnd"/>
      <w:r>
        <w:rPr>
          <w:rFonts w:cs="Arial"/>
          <w:szCs w:val="20"/>
        </w:rPr>
        <w:t>, “from” means “including and after,” “to” means “to but excluding” and “through” means “through and including.”</w:t>
      </w:r>
    </w:p>
    <w:p w:rsidRPr="00B71D5E" w:rsidR="0029492C" w:rsidP="00B71D5E" w:rsidRDefault="0029492C" w14:paraId="5C30DBAC" w14:textId="77777777">
      <w:pPr>
        <w:pStyle w:val="zGTC03"/>
        <w:numPr>
          <w:ilvl w:val="0"/>
          <w:numId w:val="0"/>
        </w:numPr>
        <w:rPr>
          <w:rFonts w:cs="Arial"/>
        </w:rPr>
      </w:pPr>
      <w:r>
        <w:rPr>
          <w:rFonts w:cs="Arial"/>
          <w:szCs w:val="20"/>
        </w:rPr>
        <w:t>All accounting terms used in this APA and not expressly defined will have the meanings given to them under, and all accounting determinations under this APA will be made in accordance with GAAP.</w:t>
      </w:r>
    </w:p>
    <w:p w:rsidRPr="00B71D5E" w:rsidR="0029492C" w:rsidP="00B71D5E" w:rsidRDefault="0029492C" w14:paraId="59684F8B" w14:textId="77777777">
      <w:pPr>
        <w:pStyle w:val="zGTC03"/>
        <w:numPr>
          <w:ilvl w:val="0"/>
          <w:numId w:val="0"/>
        </w:numPr>
        <w:rPr>
          <w:rFonts w:cs="Arial"/>
        </w:rPr>
      </w:pPr>
      <w:r>
        <w:rPr>
          <w:rFonts w:cs="Arial"/>
          <w:szCs w:val="20"/>
        </w:rPr>
        <w:t>Each Party acknowledges that this APA was negotiated by it with the benefit of representation by legal counsel, and any rule of construction or interpretation otherwise requiring this APA to be construed or interpreted against any Party will not apply to any construction or interpretation of this APA.</w:t>
      </w:r>
    </w:p>
    <w:p w:rsidRPr="00B71D5E" w:rsidR="0029492C" w:rsidP="00B71D5E" w:rsidRDefault="0029492C" w14:paraId="11C05D38" w14:textId="77777777">
      <w:pPr>
        <w:pStyle w:val="zGTC03"/>
        <w:numPr>
          <w:ilvl w:val="0"/>
          <w:numId w:val="0"/>
        </w:numPr>
        <w:rPr>
          <w:rFonts w:cs="Arial"/>
        </w:rPr>
      </w:pPr>
      <w:r>
        <w:rPr>
          <w:rFonts w:cs="Arial"/>
          <w:szCs w:val="20"/>
        </w:rPr>
        <w:t>All references in this APA to “dollars” or “$” will, in each case, be deemed to refer to United States currency.</w:t>
      </w:r>
    </w:p>
    <w:p w:rsidRPr="00B71D5E" w:rsidR="0029492C" w:rsidP="00B71D5E" w:rsidRDefault="0029492C" w14:paraId="1BC4D908" w14:textId="5812CCE9">
      <w:pPr>
        <w:pStyle w:val="zGTC03"/>
        <w:numPr>
          <w:ilvl w:val="0"/>
          <w:numId w:val="0"/>
        </w:numPr>
        <w:rPr>
          <w:rFonts w:cs="Arial"/>
        </w:rPr>
      </w:pPr>
      <w:r>
        <w:rPr>
          <w:rFonts w:cs="Arial"/>
          <w:szCs w:val="20"/>
        </w:rPr>
        <w:t xml:space="preserve">The phrases “delivered” or “made available” when used with respect to information or documents means that the information or documents have been physically or electronically delivered to the relevant Party (including, in the case of “made available” to GPC, posted and provided to GPC through the online Data Site established by Seller), in each case, </w:t>
      </w:r>
      <w:r w:rsidR="001C0BA0">
        <w:rPr>
          <w:rFonts w:cs="Arial"/>
          <w:szCs w:val="20"/>
        </w:rPr>
        <w:t>before</w:t>
      </w:r>
      <w:r>
        <w:rPr>
          <w:rFonts w:cs="Arial"/>
          <w:szCs w:val="20"/>
        </w:rPr>
        <w:t xml:space="preserve"> the </w:t>
      </w:r>
      <w:r w:rsidR="00C17E9C">
        <w:rPr>
          <w:rFonts w:cs="Arial"/>
          <w:szCs w:val="20"/>
        </w:rPr>
        <w:t>Effective Date</w:t>
      </w:r>
      <w:r>
        <w:rPr>
          <w:rFonts w:cs="Arial"/>
          <w:szCs w:val="20"/>
        </w:rPr>
        <w:t>.</w:t>
      </w:r>
    </w:p>
    <w:p w:rsidRPr="00B71D5E" w:rsidR="0029492C" w:rsidP="00B71D5E" w:rsidRDefault="0029492C" w14:paraId="69C6B769" w14:textId="77777777">
      <w:pPr>
        <w:pStyle w:val="zGTC02"/>
        <w:rPr>
          <w:rFonts w:ascii="Arial" w:hAnsi="Arial" w:cs="Arial"/>
          <w:vanish/>
          <w:specVanish/>
        </w:rPr>
      </w:pPr>
      <w:bookmarkStart w:name="_Toc138350439" w:id="560"/>
      <w:bookmarkStart w:name="_Toc143607293" w:id="561"/>
      <w:bookmarkStart w:name="_Toc181639508" w:id="562"/>
      <w:bookmarkStart w:name="_Toc214644828" w:id="563"/>
      <w:r>
        <w:rPr>
          <w:rFonts w:ascii="Arial" w:hAnsi="Arial" w:cs="Arial"/>
        </w:rPr>
        <w:t>Amendments and Waivers; Consents.</w:t>
      </w:r>
      <w:bookmarkEnd w:id="560"/>
      <w:bookmarkEnd w:id="561"/>
      <w:bookmarkEnd w:id="562"/>
      <w:bookmarkEnd w:id="563"/>
    </w:p>
    <w:p w:rsidRPr="00B71D5E" w:rsidR="0029492C" w:rsidP="00B71D5E" w:rsidRDefault="0029492C" w14:paraId="07771722" w14:textId="77777777">
      <w:pPr>
        <w:pStyle w:val="zGNormal"/>
        <w:spacing w:after="120"/>
      </w:pPr>
      <w:r>
        <w:t xml:space="preserve"> This APA may not be amended, supplemented, or modified except by an instrument in writing signed on behalf of GPC and Seller. Any term or condition of this APA may be waived at any time by the Party that is entitled to the benefit of that term or condition, but no waiver will be effective unless set forth in a written instrument duly executed by or on behalf of the Party </w:t>
      </w:r>
      <w:proofErr w:type="gramStart"/>
      <w:r>
        <w:t>waiving</w:t>
      </w:r>
      <w:proofErr w:type="gramEnd"/>
      <w:r>
        <w:t xml:space="preserve"> the term or condition. No waiver by any Party of any term or condition of this APA, in any one or more instances, will be deemed to be or construed as a waiver of the same or any other term or condition of this APA on any future occasion. The Parties further acknowledge and agree that, in giving any consent under this APA, the Party giving its consent is not in any way waiving or altering any of its rights under this APA or any of the conditions precedent to Closing, and no consent will constitute a course of dealing or performance with respect to the terms and conditions of this APA.</w:t>
      </w:r>
    </w:p>
    <w:p w:rsidRPr="00B71D5E" w:rsidR="0029492C" w:rsidP="00B71D5E" w:rsidRDefault="0029492C" w14:paraId="7EBF1A9C" w14:textId="77777777">
      <w:pPr>
        <w:pStyle w:val="zGTC02"/>
        <w:rPr>
          <w:rFonts w:ascii="Arial" w:hAnsi="Arial" w:cs="Arial"/>
          <w:vanish/>
          <w:specVanish/>
        </w:rPr>
      </w:pPr>
      <w:bookmarkStart w:name="_Toc138350440" w:id="564"/>
      <w:bookmarkStart w:name="_Toc143607294" w:id="565"/>
      <w:bookmarkStart w:name="_Toc181639509" w:id="566"/>
      <w:bookmarkStart w:name="_Toc214644829" w:id="567"/>
      <w:r>
        <w:rPr>
          <w:rFonts w:ascii="Arial" w:hAnsi="Arial" w:cs="Arial"/>
        </w:rPr>
        <w:t>Exhibits and Schedules.</w:t>
      </w:r>
      <w:bookmarkEnd w:id="564"/>
      <w:bookmarkEnd w:id="565"/>
      <w:bookmarkEnd w:id="566"/>
      <w:bookmarkEnd w:id="567"/>
    </w:p>
    <w:p w:rsidRPr="00B71D5E" w:rsidR="0029492C" w:rsidP="00B71D5E" w:rsidRDefault="0029492C" w14:paraId="046CD9C6" w14:textId="77777777">
      <w:pPr>
        <w:pStyle w:val="zGNormal"/>
        <w:spacing w:after="120"/>
      </w:pPr>
      <w:r>
        <w:t xml:space="preserve"> Except as otherwise provided in this APA, all Exhibits and Schedules referred to in this APA are intended to be and are made a part of this APA. Any disclosure in the Seller Disclosure Schedule under this APA corresponding to and qualifying a specific representation or warranty will be deemed to correspond to and qualify any other representation or warranty to which the applicability of the disclosure is reasonably apparent on its face. Certain information set forth in the Seller Disclosure Schedule is included solely for informational purposes, is not an admission of Liability with respect to the matters covered by the information and may not be required to be disclosed under this APA. The specification of any dollar amount in the representations and warranties contained in this APA or the inclusion of any specific item in the Seller Disclosure Schedule is not intended to imply that the amounts (or higher or lower amounts) are or are not material, and no Party may use the fact of the setting of the amounts or the fact of the inclusion of any item in the Seller Disclosure Schedule in any dispute or controversy between the Parties as to whether any obligation, item, or matter not described in this APA or included in the Seller Disclosure Schedule is or is not material for purposes of this APA.</w:t>
      </w:r>
    </w:p>
    <w:p w:rsidRPr="00B71D5E" w:rsidR="0029492C" w:rsidP="00B71D5E" w:rsidRDefault="0029492C" w14:paraId="5EEB2139" w14:textId="77777777">
      <w:pPr>
        <w:pStyle w:val="zGTC02"/>
        <w:rPr>
          <w:rFonts w:ascii="Arial" w:hAnsi="Arial" w:cs="Arial"/>
          <w:vanish/>
          <w:specVanish/>
        </w:rPr>
      </w:pPr>
      <w:bookmarkStart w:name="_Toc138350441" w:id="568"/>
      <w:bookmarkStart w:name="_Toc143607295" w:id="569"/>
      <w:bookmarkStart w:name="_Toc181639510" w:id="570"/>
      <w:bookmarkStart w:name="_Toc214644830" w:id="571"/>
      <w:proofErr w:type="gramStart"/>
      <w:r>
        <w:rPr>
          <w:rFonts w:ascii="Arial" w:hAnsi="Arial" w:cs="Arial"/>
        </w:rPr>
        <w:t>Relationship</w:t>
      </w:r>
      <w:proofErr w:type="gramEnd"/>
      <w:r>
        <w:rPr>
          <w:rFonts w:ascii="Arial" w:hAnsi="Arial" w:cs="Arial"/>
        </w:rPr>
        <w:t xml:space="preserve"> </w:t>
      </w:r>
      <w:proofErr w:type="gramStart"/>
      <w:r>
        <w:rPr>
          <w:rFonts w:ascii="Arial" w:hAnsi="Arial" w:cs="Arial"/>
        </w:rPr>
        <w:t>of</w:t>
      </w:r>
      <w:proofErr w:type="gramEnd"/>
      <w:r>
        <w:rPr>
          <w:rFonts w:ascii="Arial" w:hAnsi="Arial" w:cs="Arial"/>
        </w:rPr>
        <w:t xml:space="preserve"> the Parties.</w:t>
      </w:r>
      <w:bookmarkEnd w:id="568"/>
      <w:bookmarkEnd w:id="569"/>
      <w:bookmarkEnd w:id="570"/>
      <w:bookmarkEnd w:id="571"/>
    </w:p>
    <w:p w:rsidR="0029492C" w:rsidP="00B71D5E" w:rsidRDefault="0029492C" w14:paraId="7D666C8F" w14:textId="77777777">
      <w:pPr>
        <w:pStyle w:val="zGNormal"/>
        <w:spacing w:after="120"/>
      </w:pPr>
      <w:r>
        <w:t xml:space="preserve"> Neither the execution nor delivery of this APA, nor the consummation of the transactions contemplated by this APA, will create or constitute a partnership, joint venture, trust, limited liability company, </w:t>
      </w:r>
      <w:proofErr w:type="gramStart"/>
      <w:r>
        <w:t>corporate</w:t>
      </w:r>
      <w:proofErr w:type="gramEnd"/>
      <w:r>
        <w:t>, or any other form of business organization or arrangement among the Parties.</w:t>
      </w:r>
    </w:p>
    <w:p w:rsidRPr="00B71D5E" w:rsidR="001E2053" w:rsidP="001E2053" w:rsidRDefault="005641ED" w14:paraId="5D5F9685" w14:textId="77777777">
      <w:pPr>
        <w:pStyle w:val="zGTC02"/>
        <w:rPr>
          <w:rFonts w:ascii="Arial" w:hAnsi="Arial" w:cs="Arial"/>
          <w:vanish/>
          <w:specVanish/>
        </w:rPr>
      </w:pPr>
      <w:bookmarkStart w:name="_Toc181639511" w:id="572"/>
      <w:bookmarkStart w:name="_Toc214644831" w:id="573"/>
      <w:r>
        <w:rPr>
          <w:b w:val="0"/>
          <w:bCs/>
        </w:rPr>
        <w:t>Reliance on Representations and Warranties.</w:t>
      </w:r>
      <w:bookmarkEnd w:id="572"/>
      <w:bookmarkEnd w:id="573"/>
    </w:p>
    <w:p w:rsidRPr="00CB559C" w:rsidR="00843C06" w:rsidP="00B71D5E" w:rsidRDefault="002C4F5B" w14:paraId="371E4DCD" w14:textId="77777777">
      <w:pPr>
        <w:pStyle w:val="zGNormal"/>
        <w:spacing w:after="120"/>
        <w:rPr>
          <w:b/>
          <w:bCs/>
        </w:rPr>
      </w:pPr>
      <w:r>
        <w:rPr>
          <w:b/>
          <w:bCs/>
        </w:rPr>
        <w:t xml:space="preserve"> </w:t>
      </w:r>
      <w:r>
        <w:rPr>
          <w:bCs/>
        </w:rPr>
        <w:t xml:space="preserve">Each Party is relying solely on the express representations and warranties set forth in this APA (including the related portions of the Seller Disclosure </w:t>
      </w:r>
      <w:r>
        <w:rPr>
          <w:bCs/>
        </w:rPr>
        <w:lastRenderedPageBreak/>
        <w:t>Schedule).  No Party or any other Person has made any representation or warranty as to Seller, the Facility Assets, GPC, or this APA except as expressly set forth in this APA (including the related portions of the Seller Disclosure Schedule).</w:t>
      </w:r>
    </w:p>
    <w:p w:rsidRPr="00B71D5E" w:rsidR="009815AA" w:rsidP="00B71D5E" w:rsidRDefault="009815AA" w14:paraId="209B7104" w14:textId="77777777">
      <w:pPr>
        <w:pStyle w:val="BodyText"/>
        <w:spacing w:before="120" w:line="240" w:lineRule="auto"/>
        <w:jc w:val="both"/>
        <w:rPr>
          <w:rFonts w:ascii="Arial" w:hAnsi="Arial" w:eastAsia="PMingLiU" w:cs="Arial"/>
          <w:sz w:val="20"/>
          <w:szCs w:val="20"/>
        </w:rPr>
      </w:pPr>
      <w:r>
        <w:rPr>
          <w:rFonts w:ascii="Arial" w:hAnsi="Arial" w:eastAsia="PMingLiU" w:cs="Arial"/>
          <w:b/>
          <w:sz w:val="20"/>
          <w:szCs w:val="20"/>
        </w:rPr>
        <w:t xml:space="preserve">Each Party </w:t>
      </w:r>
      <w:r>
        <w:rPr>
          <w:rFonts w:ascii="Arial" w:hAnsi="Arial" w:eastAsia="PMingLiU" w:cs="Arial"/>
          <w:sz w:val="20"/>
          <w:szCs w:val="20"/>
        </w:rPr>
        <w:t>agrees to all terms and conditions of this</w:t>
      </w:r>
      <w:bookmarkStart w:name="_DV_C194" w:id="574"/>
      <w:r>
        <w:rPr>
          <w:rFonts w:ascii="Arial" w:hAnsi="Arial" w:eastAsia="PMingLiU" w:cs="Arial"/>
          <w:sz w:val="20"/>
          <w:szCs w:val="20"/>
        </w:rPr>
        <w:t xml:space="preserve"> </w:t>
      </w:r>
      <w:bookmarkEnd w:id="574"/>
      <w:r>
        <w:rPr>
          <w:rFonts w:ascii="Arial" w:hAnsi="Arial" w:eastAsia="PMingLiU" w:cs="Arial"/>
          <w:sz w:val="20"/>
          <w:szCs w:val="20"/>
        </w:rPr>
        <w:t xml:space="preserve">APA. The Parties may exchange counterparts of this </w:t>
      </w:r>
      <w:bookmarkStart w:name="_DV_M90" w:id="575"/>
      <w:bookmarkEnd w:id="575"/>
      <w:r>
        <w:rPr>
          <w:rFonts w:ascii="Arial" w:hAnsi="Arial" w:eastAsia="PMingLiU" w:cs="Arial"/>
          <w:sz w:val="20"/>
          <w:szCs w:val="20"/>
        </w:rPr>
        <w:t xml:space="preserve">APA as a scanned image (e.g., .pdf or .tiff file extension) as an attachment to email; an electronic or scanned signature is an original signature for all purposes. The </w:t>
      </w:r>
      <w:r>
        <w:rPr>
          <w:rFonts w:ascii="Arial" w:hAnsi="Arial" w:eastAsia="PMingLiU" w:cs="Arial"/>
          <w:b/>
          <w:sz w:val="20"/>
          <w:szCs w:val="20"/>
        </w:rPr>
        <w:t>“Effective Date”</w:t>
      </w:r>
      <w:r>
        <w:rPr>
          <w:rFonts w:ascii="Arial" w:hAnsi="Arial" w:eastAsia="PMingLiU" w:cs="Arial"/>
          <w:sz w:val="20"/>
          <w:szCs w:val="20"/>
        </w:rPr>
        <w:t xml:space="preserve"> is the date on which the last Party signs, as shown below.</w:t>
      </w:r>
    </w:p>
    <w:tbl>
      <w:tblPr>
        <w:tblW w:w="9936" w:type="dxa"/>
        <w:tblInd w:w="-29" w:type="dxa"/>
        <w:tblLayout w:type="fixed"/>
        <w:tblCellMar>
          <w:left w:w="29" w:type="dxa"/>
          <w:right w:w="29" w:type="dxa"/>
        </w:tblCellMar>
        <w:tblLook w:val="0000" w:firstRow="0" w:lastRow="0" w:firstColumn="0" w:lastColumn="0" w:noHBand="0" w:noVBand="0"/>
      </w:tblPr>
      <w:tblGrid>
        <w:gridCol w:w="647"/>
        <w:gridCol w:w="4020"/>
        <w:gridCol w:w="362"/>
        <w:gridCol w:w="700"/>
        <w:gridCol w:w="4207"/>
      </w:tblGrid>
      <w:tr w:rsidRPr="00B71D5E" w:rsidR="009F74F1" w14:paraId="4FD6F07E"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29005B" w:rsidR="00482C82" w:rsidP="000C027C" w:rsidRDefault="00482C82" w14:paraId="064B5B22" w14:textId="77777777">
            <w:pPr>
              <w:keepNext/>
              <w:spacing w:before="120" w:after="120" w:line="240" w:lineRule="auto"/>
              <w:jc w:val="both"/>
              <w:rPr>
                <w:rFonts w:ascii="Arial" w:hAnsi="Arial" w:cs="Arial"/>
                <w:b/>
                <w:sz w:val="24"/>
                <w:szCs w:val="24"/>
              </w:rPr>
            </w:pPr>
            <w:r>
              <w:rPr>
                <w:rFonts w:ascii="Arial" w:hAnsi="Arial" w:cs="Arial"/>
                <w:b/>
                <w:sz w:val="24"/>
                <w:szCs w:val="24"/>
              </w:rPr>
              <w:t>Georgia Power Company</w:t>
            </w:r>
          </w:p>
        </w:tc>
        <w:tc>
          <w:tcPr>
            <w:tcW w:w="362" w:type="dxa"/>
            <w:tcBorders>
              <w:top w:val="nil"/>
              <w:left w:val="nil"/>
              <w:bottom w:val="nil"/>
              <w:right w:val="nil"/>
            </w:tcBorders>
            <w:tcMar>
              <w:top w:w="0" w:type="dxa"/>
              <w:left w:w="29" w:type="dxa"/>
              <w:bottom w:w="0" w:type="dxa"/>
              <w:right w:w="29" w:type="dxa"/>
            </w:tcMar>
          </w:tcPr>
          <w:p w:rsidRPr="0029005B" w:rsidR="00482C82" w:rsidP="000C027C" w:rsidRDefault="00482C82" w14:paraId="13F3CF11" w14:textId="77777777">
            <w:pPr>
              <w:keepNext/>
              <w:spacing w:before="120" w:after="120" w:line="240" w:lineRule="auto"/>
              <w:rPr>
                <w:rFonts w:ascii="Arial" w:hAnsi="Arial" w:cs="Arial"/>
                <w:b/>
                <w:sz w:val="24"/>
                <w:szCs w:val="24"/>
              </w:rPr>
            </w:pPr>
          </w:p>
        </w:tc>
        <w:tc>
          <w:tcPr>
            <w:tcW w:w="4907" w:type="dxa"/>
            <w:gridSpan w:val="2"/>
            <w:tcBorders>
              <w:top w:val="nil"/>
              <w:left w:val="nil"/>
              <w:bottom w:val="nil"/>
              <w:right w:val="nil"/>
            </w:tcBorders>
            <w:tcMar>
              <w:top w:w="0" w:type="dxa"/>
              <w:left w:w="29" w:type="dxa"/>
              <w:bottom w:w="0" w:type="dxa"/>
              <w:right w:w="29" w:type="dxa"/>
            </w:tcMar>
          </w:tcPr>
          <w:p w:rsidRPr="0029005B" w:rsidR="00482C82" w:rsidP="000C027C" w:rsidRDefault="00482C82" w14:paraId="0B5B7CFF" w14:textId="77777777">
            <w:pPr>
              <w:keepNext/>
              <w:spacing w:before="120" w:after="120" w:line="240" w:lineRule="auto"/>
              <w:jc w:val="both"/>
              <w:rPr>
                <w:rFonts w:ascii="Arial" w:hAnsi="Arial" w:cs="Arial"/>
                <w:b/>
                <w:sz w:val="24"/>
                <w:szCs w:val="24"/>
                <w:highlight w:val="yellow"/>
              </w:rPr>
            </w:pPr>
            <w:r>
              <w:rPr>
                <w:rFonts w:ascii="Arial" w:hAnsi="Arial" w:cs="Arial"/>
                <w:b/>
                <w:sz w:val="24"/>
                <w:szCs w:val="24"/>
                <w:highlight w:val="yellow"/>
              </w:rPr>
              <w:t xml:space="preserve"> #SellerLegalName#</w:t>
            </w:r>
          </w:p>
        </w:tc>
      </w:tr>
      <w:tr w:rsidRPr="00B71D5E" w:rsidR="00AB6ED4" w14:paraId="09C5557F"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03D4F1E9" w14:textId="77777777">
            <w:pPr>
              <w:spacing w:before="120" w:after="120" w:line="240" w:lineRule="auto"/>
              <w:jc w:val="right"/>
              <w:rPr>
                <w:rFonts w:ascii="Arial" w:hAnsi="Arial" w:cs="Arial"/>
                <w:sz w:val="20"/>
                <w:szCs w:val="20"/>
              </w:rPr>
            </w:pPr>
            <w:r>
              <w:rPr>
                <w:rFonts w:ascii="Arial" w:hAnsi="Arial" w:cs="Arial"/>
                <w:sz w:val="20"/>
                <w:szCs w:val="20"/>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482C82" w:rsidP="000C027C" w:rsidRDefault="00482C82" w14:paraId="1B512CD9" w14:textId="77777777">
            <w:pPr>
              <w:spacing w:before="120" w:after="120" w:line="240" w:lineRule="auto"/>
              <w:jc w:val="right"/>
              <w:rPr>
                <w:rFonts w:ascii="Arial" w:hAnsi="Arial" w:cs="Arial"/>
                <w:sz w:val="20"/>
                <w:szCs w:val="20"/>
              </w:rPr>
            </w:pPr>
          </w:p>
        </w:tc>
        <w:tc>
          <w:tcPr>
            <w:tcW w:w="362"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143232F6" w14:textId="77777777">
            <w:pPr>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64D9CEB2" w14:textId="77777777">
            <w:pPr>
              <w:spacing w:before="120" w:after="120" w:line="240" w:lineRule="auto"/>
              <w:jc w:val="right"/>
              <w:rPr>
                <w:rFonts w:ascii="Arial" w:hAnsi="Arial" w:cs="Arial"/>
                <w:sz w:val="20"/>
                <w:szCs w:val="20"/>
              </w:rPr>
            </w:pPr>
            <w:r>
              <w:rPr>
                <w:rFonts w:ascii="Arial" w:hAnsi="Arial" w:cs="Arial"/>
                <w:sz w:val="20"/>
                <w:szCs w:val="20"/>
              </w:rPr>
              <w:t>By:</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482C82" w:rsidP="000C027C" w:rsidRDefault="00482C82" w14:paraId="12DB7FDF" w14:textId="77777777">
            <w:pPr>
              <w:spacing w:before="120" w:after="120" w:line="240" w:lineRule="auto"/>
              <w:jc w:val="right"/>
              <w:rPr>
                <w:rFonts w:ascii="Arial" w:hAnsi="Arial" w:cs="Arial"/>
                <w:b/>
                <w:sz w:val="20"/>
                <w:szCs w:val="20"/>
                <w:u w:val="single"/>
              </w:rPr>
            </w:pPr>
          </w:p>
        </w:tc>
      </w:tr>
      <w:tr w:rsidRPr="00B71D5E" w:rsidR="005E2681" w14:paraId="5427D095" w14:textId="77777777">
        <w:tc>
          <w:tcPr>
            <w:tcW w:w="647"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726DA78D" w14:textId="77777777">
            <w:pPr>
              <w:spacing w:before="120" w:after="120" w:line="240" w:lineRule="auto"/>
              <w:jc w:val="right"/>
              <w:rPr>
                <w:rFonts w:ascii="Arial" w:hAnsi="Arial" w:cs="Arial"/>
                <w:sz w:val="20"/>
                <w:szCs w:val="20"/>
              </w:rPr>
            </w:pPr>
          </w:p>
        </w:tc>
        <w:tc>
          <w:tcPr>
            <w:tcW w:w="4020"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73C1B1D3" w14:textId="77777777">
            <w:pPr>
              <w:spacing w:before="120" w:after="120" w:line="240" w:lineRule="auto"/>
              <w:jc w:val="both"/>
              <w:rPr>
                <w:rFonts w:ascii="Arial" w:hAnsi="Arial" w:cs="Arial"/>
                <w:sz w:val="20"/>
                <w:szCs w:val="20"/>
                <w:highlight w:val="yellow"/>
              </w:rPr>
            </w:pPr>
            <w:r>
              <w:rPr>
                <w:rFonts w:ascii="Arial" w:hAnsi="Arial" w:cs="Arial"/>
                <w:sz w:val="20"/>
                <w:szCs w:val="20"/>
                <w:highlight w:val="yellow"/>
              </w:rPr>
              <w:t>#Name#</w:t>
            </w:r>
          </w:p>
        </w:tc>
        <w:tc>
          <w:tcPr>
            <w:tcW w:w="362"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68CFD12E" w14:textId="77777777">
            <w:pPr>
              <w:spacing w:before="120" w:after="120" w:line="240" w:lineRule="auto"/>
              <w:rPr>
                <w:rFonts w:ascii="Arial" w:hAnsi="Arial" w:cs="Arial"/>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0798B059" w14:textId="77777777">
            <w:pPr>
              <w:spacing w:before="120" w:after="120" w:line="240" w:lineRule="auto"/>
              <w:rPr>
                <w:rFonts w:ascii="Arial" w:hAnsi="Arial" w:cs="Arial"/>
                <w:sz w:val="20"/>
                <w:szCs w:val="20"/>
              </w:rPr>
            </w:pPr>
          </w:p>
        </w:tc>
        <w:tc>
          <w:tcPr>
            <w:tcW w:w="4207"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07B2099F" w14:textId="77777777">
            <w:pPr>
              <w:spacing w:before="120" w:after="120" w:line="240" w:lineRule="auto"/>
              <w:jc w:val="both"/>
              <w:rPr>
                <w:rFonts w:ascii="Arial" w:hAnsi="Arial" w:cs="Arial"/>
                <w:sz w:val="20"/>
                <w:szCs w:val="20"/>
                <w:highlight w:val="yellow"/>
              </w:rPr>
            </w:pPr>
            <w:r>
              <w:rPr>
                <w:rFonts w:ascii="Arial" w:hAnsi="Arial" w:cs="Arial"/>
                <w:sz w:val="20"/>
                <w:szCs w:val="20"/>
                <w:highlight w:val="yellow"/>
              </w:rPr>
              <w:t>#SellerSignatureName#</w:t>
            </w:r>
          </w:p>
        </w:tc>
      </w:tr>
      <w:tr w:rsidRPr="00B71D5E" w:rsidR="005E2681" w14:paraId="540C1329" w14:textId="77777777">
        <w:tc>
          <w:tcPr>
            <w:tcW w:w="647"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1679CA55" w14:textId="77777777">
            <w:pPr>
              <w:spacing w:before="120" w:after="120" w:line="240" w:lineRule="auto"/>
              <w:jc w:val="right"/>
              <w:rPr>
                <w:rFonts w:ascii="Arial" w:hAnsi="Arial" w:cs="Arial"/>
                <w:sz w:val="20"/>
                <w:szCs w:val="20"/>
              </w:rPr>
            </w:pPr>
          </w:p>
        </w:tc>
        <w:tc>
          <w:tcPr>
            <w:tcW w:w="4020" w:type="dxa"/>
            <w:tcBorders>
              <w:top w:val="nil"/>
              <w:left w:val="nil"/>
              <w:right w:val="nil"/>
            </w:tcBorders>
            <w:tcMar>
              <w:top w:w="0" w:type="dxa"/>
              <w:left w:w="29" w:type="dxa"/>
              <w:bottom w:w="0" w:type="dxa"/>
              <w:right w:w="29" w:type="dxa"/>
            </w:tcMar>
            <w:vAlign w:val="bottom"/>
          </w:tcPr>
          <w:p w:rsidRPr="00B71D5E" w:rsidR="00482C82" w:rsidP="000C027C" w:rsidRDefault="00482C82" w14:paraId="5953EF6D" w14:textId="77777777">
            <w:pPr>
              <w:spacing w:before="120" w:after="120" w:line="240" w:lineRule="auto"/>
              <w:jc w:val="both"/>
              <w:rPr>
                <w:rFonts w:ascii="Arial" w:hAnsi="Arial" w:cs="Arial"/>
                <w:sz w:val="20"/>
                <w:szCs w:val="20"/>
                <w:highlight w:val="yellow"/>
              </w:rPr>
            </w:pPr>
            <w:r>
              <w:rPr>
                <w:rFonts w:ascii="Arial" w:hAnsi="Arial" w:cs="Arial"/>
                <w:sz w:val="20"/>
                <w:szCs w:val="20"/>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04150C8E" w14:textId="77777777">
            <w:pPr>
              <w:spacing w:before="120" w:after="120" w:line="240" w:lineRule="auto"/>
              <w:rPr>
                <w:rFonts w:ascii="Arial" w:hAnsi="Arial" w:cs="Arial"/>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368F62E7" w14:textId="77777777">
            <w:pPr>
              <w:spacing w:before="120" w:after="120" w:line="240" w:lineRule="auto"/>
              <w:rPr>
                <w:rFonts w:ascii="Arial" w:hAnsi="Arial" w:cs="Arial"/>
                <w:sz w:val="20"/>
                <w:szCs w:val="20"/>
              </w:rPr>
            </w:pPr>
          </w:p>
        </w:tc>
        <w:tc>
          <w:tcPr>
            <w:tcW w:w="4207" w:type="dxa"/>
            <w:tcBorders>
              <w:top w:val="nil"/>
              <w:left w:val="nil"/>
              <w:right w:val="nil"/>
            </w:tcBorders>
            <w:tcMar>
              <w:top w:w="0" w:type="dxa"/>
              <w:left w:w="29" w:type="dxa"/>
              <w:bottom w:w="0" w:type="dxa"/>
              <w:right w:w="29" w:type="dxa"/>
            </w:tcMar>
            <w:vAlign w:val="bottom"/>
          </w:tcPr>
          <w:p w:rsidRPr="00B71D5E" w:rsidR="00482C82" w:rsidP="000C027C" w:rsidRDefault="00482C82" w14:paraId="35D1FE0D" w14:textId="77777777">
            <w:pPr>
              <w:spacing w:before="120" w:after="120" w:line="240" w:lineRule="auto"/>
              <w:jc w:val="both"/>
              <w:rPr>
                <w:rFonts w:ascii="Arial" w:hAnsi="Arial" w:cs="Arial"/>
                <w:sz w:val="20"/>
                <w:szCs w:val="20"/>
                <w:highlight w:val="yellow"/>
              </w:rPr>
            </w:pPr>
            <w:r>
              <w:rPr>
                <w:rFonts w:ascii="Arial" w:hAnsi="Arial" w:cs="Arial"/>
                <w:sz w:val="20"/>
                <w:szCs w:val="20"/>
                <w:highlight w:val="yellow"/>
              </w:rPr>
              <w:t>#SellerSignatureTitle#</w:t>
            </w:r>
          </w:p>
        </w:tc>
      </w:tr>
      <w:tr w:rsidRPr="00B71D5E" w:rsidR="00AB6ED4" w14:paraId="70D829BE"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6E47EEF2"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482C82" w:rsidP="000C027C" w:rsidRDefault="00482C82" w14:paraId="58A6BF0F" w14:textId="77777777">
            <w:pPr>
              <w:spacing w:before="120" w:after="120" w:line="240" w:lineRule="auto"/>
              <w:jc w:val="right"/>
              <w:rPr>
                <w:rFonts w:ascii="Arial" w:hAnsi="Arial" w:cs="Arial"/>
                <w:b/>
                <w:sz w:val="20"/>
                <w:szCs w:val="20"/>
                <w:u w:val="single"/>
              </w:rPr>
            </w:pPr>
          </w:p>
        </w:tc>
        <w:tc>
          <w:tcPr>
            <w:tcW w:w="362"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0FFC9A1D" w14:textId="77777777">
            <w:pPr>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482C82" w:rsidP="000C027C" w:rsidRDefault="00482C82" w14:paraId="68B10115"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482C82" w:rsidP="000C027C" w:rsidRDefault="00482C82" w14:paraId="69836575" w14:textId="77777777">
            <w:pPr>
              <w:spacing w:before="120" w:after="120" w:line="240" w:lineRule="auto"/>
              <w:jc w:val="right"/>
              <w:rPr>
                <w:rFonts w:ascii="Arial" w:hAnsi="Arial" w:cs="Arial"/>
                <w:b/>
                <w:sz w:val="20"/>
                <w:szCs w:val="20"/>
                <w:u w:val="single"/>
              </w:rPr>
            </w:pPr>
          </w:p>
        </w:tc>
      </w:tr>
    </w:tbl>
    <w:p w:rsidR="00482C82" w:rsidP="00B71D5E" w:rsidRDefault="00482C82" w14:paraId="2FC661F9" w14:textId="77777777">
      <w:pPr>
        <w:spacing w:before="120" w:after="120" w:line="240" w:lineRule="auto"/>
        <w:rPr>
          <w:rFonts w:ascii="Arial" w:hAnsi="Arial" w:cs="Arial"/>
          <w:sz w:val="20"/>
          <w:szCs w:val="20"/>
        </w:rPr>
      </w:pPr>
    </w:p>
    <w:p w:rsidR="00482C82" w:rsidP="00B71D5E" w:rsidRDefault="00482C82" w14:paraId="68A96259" w14:textId="77777777">
      <w:pPr>
        <w:spacing w:before="120" w:after="120" w:line="240" w:lineRule="auto"/>
        <w:rPr>
          <w:rFonts w:ascii="Arial" w:hAnsi="Arial" w:cs="Arial"/>
          <w:sz w:val="20"/>
          <w:szCs w:val="20"/>
        </w:rPr>
      </w:pPr>
    </w:p>
    <w:p w:rsidR="00482C82" w:rsidP="00B71D5E" w:rsidRDefault="00482C82" w14:paraId="040A6234" w14:textId="77777777">
      <w:pPr>
        <w:spacing w:before="120" w:after="120" w:line="240" w:lineRule="auto"/>
        <w:rPr>
          <w:rFonts w:ascii="Arial" w:hAnsi="Arial" w:cs="Arial"/>
          <w:sz w:val="20"/>
          <w:szCs w:val="20"/>
        </w:rPr>
        <w:sectPr w:rsidR="00482C82" w:rsidSect="00C11AB5">
          <w:pgSz w:w="12240" w:h="15840" w:code="1"/>
          <w:pgMar w:top="1080" w:right="1080" w:bottom="936" w:left="1224" w:header="432" w:footer="576" w:gutter="0"/>
          <w:cols w:space="720"/>
          <w:titlePg/>
          <w:docGrid w:linePitch="326"/>
        </w:sectPr>
      </w:pPr>
    </w:p>
    <w:p w:rsidRPr="00F26A69" w:rsidR="00F26A69" w:rsidP="00F26A69" w:rsidRDefault="00F26A69" w14:paraId="6E0FBEDB" w14:textId="77777777">
      <w:pPr>
        <w:pStyle w:val="zGTitleExhibit"/>
      </w:pPr>
      <w:bookmarkStart w:name="_Toc166143317" w:id="576"/>
      <w:bookmarkStart w:name="_Toc181639512" w:id="577"/>
      <w:bookmarkStart w:name="_Toc214644832" w:id="578"/>
      <w:r>
        <w:rPr>
          <w:rFonts w:eastAsia="Calibri"/>
        </w:rPr>
        <w:lastRenderedPageBreak/>
        <w:t>Exhibit A-1 – Facility Information and Additional Details</w:t>
      </w:r>
      <w:bookmarkEnd w:id="576"/>
      <w:bookmarkEnd w:id="577"/>
      <w:bookmarkEnd w:id="578"/>
    </w:p>
    <w:p w:rsidRPr="00B3048C" w:rsidR="00F26A69" w:rsidP="00F26A69" w:rsidRDefault="00F26A69" w14:paraId="6D19CEEB" w14:textId="77777777">
      <w:pPr>
        <w:pStyle w:val="zGNormal6"/>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0B141C3F" w14:textId="77777777">
        <w:trPr>
          <w:trHeight w:val="710"/>
        </w:trPr>
        <w:tc>
          <w:tcPr>
            <w:tcW w:w="9350" w:type="dxa"/>
            <w:gridSpan w:val="2"/>
            <w:shd w:val="clear" w:color="auto" w:fill="D9D9D9" w:themeFill="background1" w:themeFillShade="D9"/>
            <w:vAlign w:val="center"/>
          </w:tcPr>
          <w:p w:rsidRPr="00654EBE" w:rsidR="00F26A69" w:rsidRDefault="00F26A69" w14:paraId="1223F4DA" w14:textId="77777777">
            <w:pPr>
              <w:jc w:val="center"/>
              <w:rPr>
                <w:rFonts w:ascii="Arial" w:hAnsi="Arial" w:cs="Arial"/>
                <w:b/>
                <w:bCs/>
                <w:sz w:val="20"/>
                <w:szCs w:val="20"/>
                <w:shd w:val="clear" w:color="auto" w:fill="E6E6E6"/>
              </w:rPr>
            </w:pPr>
            <w:r>
              <w:rPr>
                <w:rFonts w:ascii="Arial" w:hAnsi="Arial" w:cs="Arial"/>
                <w:b/>
                <w:bCs/>
                <w:sz w:val="20"/>
                <w:szCs w:val="20"/>
                <w:shd w:val="clear" w:color="auto" w:fill="E6E6E6"/>
              </w:rPr>
              <w:t>Table A-1.1</w:t>
            </w:r>
          </w:p>
          <w:p w:rsidRPr="00654EBE" w:rsidR="00F26A69" w:rsidRDefault="00F26A69" w14:paraId="0874FCD5" w14:textId="77777777">
            <w:pPr>
              <w:jc w:val="center"/>
              <w:rPr>
                <w:rFonts w:ascii="Arial" w:hAnsi="Arial" w:cs="Arial"/>
                <w:b/>
                <w:bCs/>
                <w:sz w:val="20"/>
                <w:szCs w:val="20"/>
                <w:highlight w:val="yellow"/>
                <w:shd w:val="clear" w:color="auto" w:fill="E6E6E6"/>
              </w:rPr>
            </w:pPr>
            <w:r>
              <w:rPr>
                <w:rFonts w:ascii="Arial" w:hAnsi="Arial" w:cs="Arial"/>
                <w:b/>
                <w:bCs/>
                <w:sz w:val="20"/>
                <w:szCs w:val="20"/>
              </w:rPr>
              <w:t>Facility, Site, and Seller Information</w:t>
            </w:r>
          </w:p>
        </w:tc>
      </w:tr>
      <w:tr w:rsidRPr="00654EBE" w:rsidR="00F26A69" w:rsidTr="00126CED" w14:paraId="0D655B8A" w14:textId="77777777">
        <w:tc>
          <w:tcPr>
            <w:tcW w:w="2875" w:type="dxa"/>
          </w:tcPr>
          <w:p w:rsidRPr="00654EBE" w:rsidR="00F26A69" w:rsidRDefault="00F26A69" w14:paraId="1D8C5E74" w14:textId="77777777">
            <w:pPr>
              <w:spacing w:before="60" w:after="60"/>
              <w:rPr>
                <w:rFonts w:ascii="Arial" w:hAnsi="Arial" w:cs="Arial"/>
                <w:b/>
                <w:bCs/>
                <w:sz w:val="20"/>
                <w:szCs w:val="20"/>
              </w:rPr>
            </w:pPr>
            <w:r>
              <w:rPr>
                <w:rFonts w:ascii="Arial" w:hAnsi="Arial" w:cs="Arial"/>
                <w:b/>
                <w:bCs/>
                <w:sz w:val="20"/>
                <w:szCs w:val="20"/>
              </w:rPr>
              <w:t>Site</w:t>
            </w:r>
          </w:p>
        </w:tc>
        <w:tc>
          <w:tcPr>
            <w:tcW w:w="6475" w:type="dxa"/>
          </w:tcPr>
          <w:p w:rsidRPr="00654EBE" w:rsidR="00F26A69" w:rsidRDefault="00F26A69" w14:paraId="2D103925" w14:textId="77777777">
            <w:pPr>
              <w:spacing w:before="60" w:after="60"/>
              <w:rPr>
                <w:rFonts w:ascii="Arial" w:hAnsi="Arial" w:cs="Arial"/>
                <w:sz w:val="20"/>
                <w:szCs w:val="20"/>
                <w:shd w:val="clear" w:color="auto" w:fill="E6E6E6"/>
              </w:rPr>
            </w:pPr>
            <w:r>
              <w:rPr>
                <w:rFonts w:ascii="Arial" w:hAnsi="Arial" w:cs="Arial"/>
                <w:sz w:val="20"/>
                <w:szCs w:val="20"/>
                <w:highlight w:val="yellow"/>
                <w:shd w:val="clear" w:color="auto" w:fill="E6E6E6"/>
              </w:rPr>
              <w:t>#Street Address#</w:t>
            </w:r>
          </w:p>
          <w:p w:rsidRPr="00654EBE" w:rsidR="00F26A69" w:rsidRDefault="00F26A69" w14:paraId="626D1256" w14:textId="77777777">
            <w:pPr>
              <w:spacing w:before="60" w:after="60"/>
              <w:rPr>
                <w:rFonts w:ascii="Arial" w:hAnsi="Arial" w:cs="Arial"/>
                <w:b/>
                <w:bCs/>
                <w:sz w:val="20"/>
                <w:szCs w:val="20"/>
              </w:rPr>
            </w:pPr>
            <w:proofErr w:type="gramStart"/>
            <w:r>
              <w:rPr>
                <w:rFonts w:ascii="Arial" w:hAnsi="Arial" w:cs="Arial"/>
                <w:sz w:val="20"/>
                <w:szCs w:val="20"/>
                <w:highlight w:val="yellow"/>
              </w:rPr>
              <w:t>#City</w:t>
            </w:r>
            <w:r>
              <w:rPr>
                <w:rFonts w:ascii="Arial" w:hAnsi="Arial" w:cs="Arial"/>
                <w:sz w:val="20"/>
                <w:szCs w:val="20"/>
              </w:rPr>
              <w:t xml:space="preserve">, </w:t>
            </w:r>
            <w:r>
              <w:rPr>
                <w:rFonts w:ascii="Arial" w:hAnsi="Arial" w:cs="Arial"/>
                <w:sz w:val="20"/>
                <w:szCs w:val="20"/>
                <w:highlight w:val="yellow"/>
              </w:rPr>
              <w:t>#State</w:t>
            </w:r>
            <w:r>
              <w:rPr>
                <w:rFonts w:ascii="Arial" w:hAnsi="Arial" w:cs="Arial"/>
                <w:sz w:val="20"/>
                <w:szCs w:val="20"/>
              </w:rPr>
              <w:t xml:space="preserve">, </w:t>
            </w:r>
            <w:r>
              <w:rPr>
                <w:rFonts w:ascii="Arial" w:hAnsi="Arial" w:cs="Arial"/>
                <w:sz w:val="20"/>
                <w:szCs w:val="20"/>
                <w:highlight w:val="yellow"/>
              </w:rPr>
              <w:t>#</w:t>
            </w:r>
            <w:proofErr w:type="gramEnd"/>
            <w:r>
              <w:rPr>
                <w:rFonts w:ascii="Arial" w:hAnsi="Arial" w:cs="Arial"/>
                <w:sz w:val="20"/>
                <w:szCs w:val="20"/>
                <w:highlight w:val="yellow"/>
              </w:rPr>
              <w:t>ZipCode</w:t>
            </w:r>
          </w:p>
        </w:tc>
      </w:tr>
      <w:tr w:rsidRPr="00654EBE" w:rsidR="00F26A69" w:rsidTr="00126CED" w14:paraId="4F608E5D" w14:textId="77777777">
        <w:tc>
          <w:tcPr>
            <w:tcW w:w="2875" w:type="dxa"/>
          </w:tcPr>
          <w:p w:rsidRPr="00654EBE" w:rsidR="00F26A69" w:rsidRDefault="00F26A69" w14:paraId="04757F00" w14:textId="77777777">
            <w:pPr>
              <w:spacing w:before="60" w:after="60"/>
              <w:rPr>
                <w:rFonts w:ascii="Arial" w:hAnsi="Arial" w:cs="Arial"/>
                <w:b/>
                <w:bCs/>
                <w:sz w:val="20"/>
                <w:szCs w:val="20"/>
              </w:rPr>
            </w:pPr>
            <w:r>
              <w:rPr>
                <w:rFonts w:ascii="Arial" w:hAnsi="Arial" w:cs="Arial"/>
                <w:b/>
                <w:bCs/>
                <w:sz w:val="20"/>
                <w:szCs w:val="20"/>
              </w:rPr>
              <w:t>GPS Coordinates</w:t>
            </w:r>
          </w:p>
        </w:tc>
        <w:tc>
          <w:tcPr>
            <w:tcW w:w="6475" w:type="dxa"/>
          </w:tcPr>
          <w:p w:rsidRPr="00654EBE" w:rsidR="00F26A69" w:rsidRDefault="00F26A69" w14:paraId="2A95C984" w14:textId="77777777">
            <w:pPr>
              <w:spacing w:before="60" w:after="60"/>
              <w:rPr>
                <w:rFonts w:ascii="Arial" w:hAnsi="Arial" w:cs="Arial"/>
                <w:b/>
                <w:bCs/>
                <w:sz w:val="20"/>
                <w:szCs w:val="20"/>
              </w:rPr>
            </w:pPr>
            <w:r>
              <w:rPr>
                <w:rFonts w:ascii="Arial" w:hAnsi="Arial" w:cs="Arial"/>
                <w:sz w:val="20"/>
                <w:szCs w:val="20"/>
                <w:highlight w:val="yellow"/>
              </w:rPr>
              <w:t>#Latitude</w:t>
            </w:r>
            <w:r>
              <w:rPr>
                <w:rFonts w:ascii="Arial" w:hAnsi="Arial" w:cs="Arial"/>
                <w:sz w:val="20"/>
                <w:szCs w:val="20"/>
              </w:rPr>
              <w:t xml:space="preserve"> latitude and </w:t>
            </w:r>
            <w:r>
              <w:rPr>
                <w:rFonts w:ascii="Arial" w:hAnsi="Arial" w:cs="Arial"/>
                <w:sz w:val="20"/>
                <w:szCs w:val="20"/>
                <w:highlight w:val="yellow"/>
              </w:rPr>
              <w:t>#Longitude</w:t>
            </w:r>
            <w:r>
              <w:rPr>
                <w:rFonts w:ascii="Arial" w:hAnsi="Arial" w:cs="Arial"/>
                <w:sz w:val="20"/>
                <w:szCs w:val="20"/>
              </w:rPr>
              <w:t xml:space="preserve"> longitude</w:t>
            </w:r>
          </w:p>
        </w:tc>
      </w:tr>
      <w:tr w:rsidRPr="00654EBE" w:rsidR="00F26A69" w:rsidTr="00126CED" w14:paraId="2F81F377" w14:textId="77777777">
        <w:tc>
          <w:tcPr>
            <w:tcW w:w="2875" w:type="dxa"/>
          </w:tcPr>
          <w:p w:rsidRPr="00654EBE" w:rsidR="00F26A69" w:rsidRDefault="00F26A69" w14:paraId="46427594" w14:textId="77777777">
            <w:pPr>
              <w:spacing w:before="60" w:after="60"/>
              <w:rPr>
                <w:rFonts w:ascii="Arial" w:hAnsi="Arial" w:cs="Arial"/>
                <w:b/>
                <w:bCs/>
                <w:sz w:val="20"/>
                <w:szCs w:val="20"/>
              </w:rPr>
            </w:pPr>
            <w:r>
              <w:rPr>
                <w:rFonts w:ascii="Arial" w:hAnsi="Arial" w:cs="Arial"/>
                <w:b/>
                <w:bCs/>
                <w:sz w:val="20"/>
                <w:szCs w:val="20"/>
              </w:rPr>
              <w:t>Facility Description</w:t>
            </w:r>
          </w:p>
        </w:tc>
        <w:tc>
          <w:tcPr>
            <w:tcW w:w="6475" w:type="dxa"/>
          </w:tcPr>
          <w:p w:rsidRPr="00654EBE" w:rsidR="00F26A69" w:rsidRDefault="00F26A69" w14:paraId="7EA588E7" w14:textId="77777777">
            <w:pPr>
              <w:spacing w:before="60" w:after="60"/>
              <w:rPr>
                <w:rFonts w:ascii="Arial" w:hAnsi="Arial" w:cs="Arial"/>
                <w:sz w:val="20"/>
                <w:szCs w:val="20"/>
              </w:rPr>
            </w:pPr>
            <w:r>
              <w:rPr>
                <w:rFonts w:ascii="Arial" w:hAnsi="Arial" w:cs="Arial"/>
                <w:sz w:val="20"/>
                <w:szCs w:val="20"/>
                <w:highlight w:val="yellow"/>
              </w:rPr>
              <w:t>#FacilitySize</w:t>
            </w:r>
            <w:r>
              <w:rPr>
                <w:rFonts w:ascii="Arial" w:hAnsi="Arial" w:cs="Arial"/>
                <w:sz w:val="20"/>
                <w:szCs w:val="20"/>
              </w:rPr>
              <w:t xml:space="preserve"> MW (AC) </w:t>
            </w:r>
            <w:r>
              <w:rPr>
                <w:rFonts w:ascii="Arial" w:hAnsi="Arial" w:cs="Arial"/>
                <w:sz w:val="20"/>
                <w:szCs w:val="20"/>
                <w:highlight w:val="yellow"/>
              </w:rPr>
              <w:t xml:space="preserve">#combined cycle </w:t>
            </w:r>
            <w:proofErr w:type="spellStart"/>
            <w:r>
              <w:rPr>
                <w:rFonts w:ascii="Arial" w:hAnsi="Arial" w:cs="Arial"/>
                <w:sz w:val="20"/>
                <w:szCs w:val="20"/>
                <w:highlight w:val="yellow"/>
              </w:rPr>
              <w:t>generation</w:t>
            </w:r>
            <w:r>
              <w:rPr>
                <w:rFonts w:ascii="Arial" w:hAnsi="Arial" w:cs="Arial"/>
                <w:b/>
                <w:bCs/>
                <w:i/>
                <w:iCs/>
                <w:color w:val="FF0000"/>
                <w:sz w:val="20"/>
                <w:szCs w:val="20"/>
                <w:highlight w:val="cyan"/>
                <w:u w:val="single"/>
              </w:rPr>
              <w:t>OR</w:t>
            </w:r>
            <w:r>
              <w:rPr>
                <w:rFonts w:ascii="Arial" w:hAnsi="Arial" w:cs="Arial"/>
                <w:sz w:val="20"/>
                <w:szCs w:val="20"/>
                <w:highlight w:val="yellow"/>
              </w:rPr>
              <w:t>#combustion</w:t>
            </w:r>
            <w:proofErr w:type="spellEnd"/>
            <w:r>
              <w:rPr>
                <w:rFonts w:ascii="Arial" w:hAnsi="Arial" w:cs="Arial"/>
                <w:sz w:val="20"/>
                <w:szCs w:val="20"/>
                <w:highlight w:val="yellow"/>
              </w:rPr>
              <w:t xml:space="preserve"> turbine </w:t>
            </w:r>
            <w:proofErr w:type="spellStart"/>
            <w:r>
              <w:rPr>
                <w:rFonts w:ascii="Arial" w:hAnsi="Arial" w:cs="Arial"/>
                <w:sz w:val="20"/>
                <w:szCs w:val="20"/>
                <w:highlight w:val="yellow"/>
              </w:rPr>
              <w:t>generation</w:t>
            </w:r>
            <w:r>
              <w:rPr>
                <w:rFonts w:ascii="Arial" w:hAnsi="Arial" w:cs="Arial"/>
                <w:b/>
                <w:bCs/>
                <w:i/>
                <w:iCs/>
                <w:color w:val="FF0000"/>
                <w:sz w:val="20"/>
                <w:szCs w:val="20"/>
                <w:highlight w:val="cyan"/>
                <w:u w:val="single"/>
              </w:rPr>
              <w:t>OR</w:t>
            </w:r>
            <w:r>
              <w:rPr>
                <w:rFonts w:ascii="Arial" w:hAnsi="Arial" w:cs="Arial"/>
                <w:sz w:val="20"/>
                <w:szCs w:val="20"/>
                <w:highlight w:val="yellow"/>
              </w:rPr>
              <w:t>#solar</w:t>
            </w:r>
            <w:proofErr w:type="spellEnd"/>
            <w:r>
              <w:rPr>
                <w:rFonts w:ascii="Arial" w:hAnsi="Arial" w:cs="Arial"/>
                <w:sz w:val="20"/>
                <w:szCs w:val="20"/>
                <w:highlight w:val="yellow"/>
              </w:rPr>
              <w:t xml:space="preserve"> photovoltaic energy generation with energy storage </w:t>
            </w:r>
            <w:proofErr w:type="spellStart"/>
            <w:r>
              <w:rPr>
                <w:rFonts w:ascii="Arial" w:hAnsi="Arial" w:cs="Arial"/>
                <w:sz w:val="20"/>
                <w:szCs w:val="20"/>
                <w:highlight w:val="yellow"/>
              </w:rPr>
              <w:t>system</w:t>
            </w:r>
            <w:r>
              <w:rPr>
                <w:rFonts w:ascii="Arial" w:hAnsi="Arial" w:cs="Arial"/>
                <w:b/>
                <w:bCs/>
                <w:i/>
                <w:iCs/>
                <w:color w:val="FF0000"/>
                <w:sz w:val="20"/>
                <w:szCs w:val="20"/>
                <w:highlight w:val="cyan"/>
                <w:u w:val="single"/>
              </w:rPr>
              <w:t>OR</w:t>
            </w:r>
            <w:r>
              <w:rPr>
                <w:rFonts w:ascii="Arial" w:hAnsi="Arial" w:cs="Arial"/>
                <w:sz w:val="20"/>
                <w:szCs w:val="20"/>
                <w:highlight w:val="yellow"/>
              </w:rPr>
              <w:t>#energy</w:t>
            </w:r>
            <w:proofErr w:type="spellEnd"/>
            <w:r>
              <w:rPr>
                <w:rFonts w:ascii="Arial" w:hAnsi="Arial" w:cs="Arial"/>
                <w:sz w:val="20"/>
                <w:szCs w:val="20"/>
                <w:highlight w:val="yellow"/>
              </w:rPr>
              <w:t xml:space="preserve"> storage system</w:t>
            </w:r>
          </w:p>
        </w:tc>
      </w:tr>
      <w:tr w:rsidRPr="00654EBE" w:rsidR="00F26A69" w:rsidTr="00126CED" w14:paraId="7F5F637F" w14:textId="77777777">
        <w:trPr>
          <w:trHeight w:val="58"/>
        </w:trPr>
        <w:tc>
          <w:tcPr>
            <w:tcW w:w="2875" w:type="dxa"/>
          </w:tcPr>
          <w:p w:rsidRPr="00654EBE" w:rsidR="00F26A69" w:rsidRDefault="00F26A69" w14:paraId="2765E54A" w14:textId="77777777">
            <w:pPr>
              <w:spacing w:before="60" w:after="60"/>
              <w:rPr>
                <w:rFonts w:ascii="Arial" w:hAnsi="Arial" w:cs="Arial"/>
                <w:b/>
                <w:bCs/>
                <w:sz w:val="20"/>
                <w:szCs w:val="20"/>
              </w:rPr>
            </w:pPr>
            <w:r>
              <w:rPr>
                <w:rFonts w:ascii="Arial" w:hAnsi="Arial" w:cs="Arial"/>
                <w:b/>
                <w:bCs/>
                <w:sz w:val="20"/>
                <w:szCs w:val="20"/>
              </w:rPr>
              <w:t>Facility Name</w:t>
            </w:r>
          </w:p>
        </w:tc>
        <w:tc>
          <w:tcPr>
            <w:tcW w:w="6475" w:type="dxa"/>
          </w:tcPr>
          <w:p w:rsidRPr="00654EBE" w:rsidR="00F26A69" w:rsidRDefault="00F26A69" w14:paraId="0B19FF2F" w14:textId="77777777">
            <w:pPr>
              <w:spacing w:before="60" w:after="60"/>
              <w:rPr>
                <w:rFonts w:ascii="Arial" w:hAnsi="Arial" w:cs="Arial"/>
                <w:b/>
                <w:bCs/>
                <w:sz w:val="20"/>
                <w:szCs w:val="20"/>
              </w:rPr>
            </w:pPr>
            <w:r>
              <w:rPr>
                <w:rFonts w:ascii="Arial" w:hAnsi="Arial" w:cs="Arial"/>
                <w:sz w:val="20"/>
                <w:szCs w:val="20"/>
                <w:highlight w:val="yellow"/>
              </w:rPr>
              <w:t>#FacilityName</w:t>
            </w:r>
          </w:p>
        </w:tc>
      </w:tr>
      <w:tr w:rsidRPr="00654EBE" w:rsidR="00F26A69" w:rsidTr="00126CED" w14:paraId="303770A1" w14:textId="77777777">
        <w:trPr>
          <w:trHeight w:val="58"/>
        </w:trPr>
        <w:tc>
          <w:tcPr>
            <w:tcW w:w="2875" w:type="dxa"/>
          </w:tcPr>
          <w:p w:rsidRPr="00654EBE" w:rsidR="00F26A69" w:rsidRDefault="00F26A69" w14:paraId="0978EC89" w14:textId="77777777">
            <w:pPr>
              <w:spacing w:before="60" w:after="60"/>
              <w:rPr>
                <w:rFonts w:ascii="Arial" w:hAnsi="Arial" w:cs="Arial"/>
                <w:b/>
                <w:bCs/>
                <w:sz w:val="20"/>
                <w:szCs w:val="20"/>
              </w:rPr>
            </w:pPr>
            <w:r>
              <w:rPr>
                <w:rFonts w:ascii="Arial" w:hAnsi="Arial" w:cs="Arial"/>
                <w:b/>
                <w:bCs/>
                <w:sz w:val="20"/>
                <w:szCs w:val="20"/>
              </w:rPr>
              <w:t>Facility Nameplate Capacity</w:t>
            </w:r>
          </w:p>
        </w:tc>
        <w:tc>
          <w:tcPr>
            <w:tcW w:w="6475" w:type="dxa"/>
          </w:tcPr>
          <w:p w:rsidRPr="00654EBE" w:rsidR="00F26A69" w:rsidRDefault="00F26A69" w14:paraId="7F16FEBC" w14:textId="77777777">
            <w:pPr>
              <w:spacing w:before="60" w:after="60"/>
              <w:rPr>
                <w:rFonts w:ascii="Arial" w:hAnsi="Arial" w:cs="Arial"/>
                <w:sz w:val="20"/>
                <w:szCs w:val="20"/>
              </w:rPr>
            </w:pPr>
            <w:r>
              <w:rPr>
                <w:rFonts w:ascii="Arial" w:hAnsi="Arial" w:cs="Arial"/>
                <w:sz w:val="20"/>
                <w:szCs w:val="20"/>
                <w:highlight w:val="yellow"/>
              </w:rPr>
              <w:t>#FacilityNameplateCapacity</w:t>
            </w:r>
            <w:r>
              <w:rPr>
                <w:rFonts w:ascii="Arial" w:hAnsi="Arial" w:cs="Arial"/>
                <w:sz w:val="20"/>
                <w:szCs w:val="20"/>
              </w:rPr>
              <w:t xml:space="preserve"> MW (AC)</w:t>
            </w:r>
          </w:p>
        </w:tc>
      </w:tr>
      <w:tr w:rsidRPr="00654EBE" w:rsidR="00F26A69" w:rsidTr="00126CED" w14:paraId="024F76D1" w14:textId="77777777">
        <w:trPr>
          <w:trHeight w:val="58"/>
        </w:trPr>
        <w:tc>
          <w:tcPr>
            <w:tcW w:w="2875" w:type="dxa"/>
          </w:tcPr>
          <w:p w:rsidRPr="00654EBE" w:rsidR="00F26A69" w:rsidRDefault="00F26A69" w14:paraId="59E88D8E" w14:textId="77777777">
            <w:pPr>
              <w:spacing w:before="60" w:after="60"/>
              <w:rPr>
                <w:rFonts w:ascii="Arial" w:hAnsi="Arial" w:cs="Arial"/>
                <w:b/>
                <w:bCs/>
                <w:sz w:val="20"/>
                <w:szCs w:val="20"/>
              </w:rPr>
            </w:pPr>
            <w:r>
              <w:rPr>
                <w:rFonts w:ascii="Arial" w:hAnsi="Arial" w:cs="Arial"/>
                <w:b/>
                <w:bCs/>
                <w:sz w:val="20"/>
                <w:szCs w:val="20"/>
              </w:rPr>
              <w:t>Seller Information</w:t>
            </w:r>
          </w:p>
        </w:tc>
        <w:tc>
          <w:tcPr>
            <w:tcW w:w="6475" w:type="dxa"/>
          </w:tcPr>
          <w:p w:rsidRPr="00654EBE" w:rsidR="00F26A69" w:rsidRDefault="00F26A69" w14:paraId="498B5BD9" w14:textId="77777777">
            <w:pPr>
              <w:spacing w:before="60" w:after="60"/>
              <w:rPr>
                <w:rFonts w:ascii="Arial" w:hAnsi="Arial" w:cs="Arial"/>
                <w:b/>
                <w:bCs/>
                <w:sz w:val="20"/>
                <w:szCs w:val="20"/>
              </w:rPr>
            </w:pPr>
            <w:r>
              <w:rPr>
                <w:rFonts w:ascii="Arial" w:hAnsi="Arial" w:cs="Arial"/>
                <w:sz w:val="20"/>
                <w:szCs w:val="20"/>
                <w:highlight w:val="yellow"/>
              </w:rPr>
              <w:t>#SellerName</w:t>
            </w:r>
            <w:r>
              <w:rPr>
                <w:rFonts w:ascii="Arial" w:hAnsi="Arial" w:cs="Arial"/>
                <w:sz w:val="20"/>
                <w:szCs w:val="20"/>
              </w:rPr>
              <w:t xml:space="preserve">, </w:t>
            </w:r>
            <w:r>
              <w:rPr>
                <w:rStyle w:val="normaltextrun"/>
                <w:rFonts w:ascii="Arial" w:hAnsi="Arial" w:cs="Arial"/>
                <w:sz w:val="20"/>
                <w:szCs w:val="20"/>
                <w:highlight w:val="yellow"/>
              </w:rPr>
              <w:t>#a</w:t>
            </w:r>
            <w:r>
              <w:rPr>
                <w:rStyle w:val="normaltextrun"/>
                <w:rFonts w:ascii="Arial" w:hAnsi="Arial" w:cs="Arial"/>
                <w:b/>
                <w:i/>
                <w:color w:val="FF0000"/>
                <w:sz w:val="20"/>
                <w:szCs w:val="20"/>
                <w:highlight w:val="cyan"/>
                <w:u w:val="single"/>
              </w:rPr>
              <w:t>OR</w:t>
            </w:r>
            <w:r>
              <w:rPr>
                <w:rStyle w:val="normaltextrun"/>
                <w:rFonts w:ascii="Arial" w:hAnsi="Arial" w:cs="Arial"/>
                <w:bCs/>
                <w:iCs/>
                <w:sz w:val="20"/>
                <w:szCs w:val="20"/>
                <w:highlight w:val="yellow"/>
              </w:rPr>
              <w:t>#</w:t>
            </w:r>
            <w:r>
              <w:rPr>
                <w:rStyle w:val="normaltextrun"/>
                <w:rFonts w:ascii="Arial" w:hAnsi="Arial" w:cs="Arial"/>
                <w:sz w:val="20"/>
                <w:szCs w:val="20"/>
                <w:highlight w:val="yellow"/>
              </w:rPr>
              <w:t>an</w:t>
            </w:r>
            <w:r>
              <w:rPr>
                <w:rStyle w:val="normaltextrun"/>
                <w:rFonts w:ascii="Arial" w:hAnsi="Arial" w:cs="Arial"/>
                <w:sz w:val="20"/>
                <w:szCs w:val="20"/>
              </w:rPr>
              <w:t xml:space="preserve"> </w:t>
            </w:r>
            <w:r>
              <w:rPr>
                <w:rStyle w:val="normaltextrun"/>
                <w:rFonts w:ascii="Arial" w:hAnsi="Arial" w:cs="Arial"/>
                <w:sz w:val="20"/>
                <w:szCs w:val="20"/>
                <w:highlight w:val="yellow"/>
              </w:rPr>
              <w:t>#OrgState#</w:t>
            </w:r>
            <w:r>
              <w:rPr>
                <w:rStyle w:val="normaltextrun"/>
                <w:rFonts w:ascii="Arial" w:hAnsi="Arial" w:cs="Arial"/>
                <w:sz w:val="20"/>
                <w:szCs w:val="20"/>
              </w:rPr>
              <w:t xml:space="preserve"> </w:t>
            </w:r>
            <w:r>
              <w:rPr>
                <w:rStyle w:val="normaltextrun"/>
                <w:rFonts w:ascii="Arial" w:hAnsi="Arial" w:cs="Arial"/>
                <w:sz w:val="20"/>
                <w:szCs w:val="20"/>
                <w:highlight w:val="yellow"/>
              </w:rPr>
              <w:t xml:space="preserve">#limited liability </w:t>
            </w:r>
            <w:proofErr w:type="spellStart"/>
            <w:r>
              <w:rPr>
                <w:rStyle w:val="normaltextrun"/>
                <w:rFonts w:ascii="Arial" w:hAnsi="Arial" w:cs="Arial"/>
                <w:sz w:val="20"/>
                <w:szCs w:val="20"/>
                <w:highlight w:val="yellow"/>
              </w:rPr>
              <w:t>company</w:t>
            </w:r>
            <w:r>
              <w:rPr>
                <w:rStyle w:val="normaltextrun"/>
                <w:rFonts w:ascii="Arial" w:hAnsi="Arial" w:cs="Arial"/>
                <w:b/>
                <w:i/>
                <w:color w:val="FF0000"/>
                <w:sz w:val="20"/>
                <w:szCs w:val="20"/>
                <w:highlight w:val="cyan"/>
                <w:u w:val="single"/>
              </w:rPr>
              <w:t>OR</w:t>
            </w:r>
            <w:r>
              <w:rPr>
                <w:rStyle w:val="normaltextrun"/>
                <w:rFonts w:ascii="Arial" w:hAnsi="Arial" w:cs="Arial"/>
                <w:sz w:val="20"/>
                <w:szCs w:val="20"/>
                <w:highlight w:val="yellow"/>
              </w:rPr>
              <w:t>#OtherOrgStructure</w:t>
            </w:r>
            <w:proofErr w:type="spellEnd"/>
          </w:p>
        </w:tc>
      </w:tr>
      <w:tr w:rsidRPr="00654EBE" w:rsidR="00F26A69" w:rsidTr="00126CED" w14:paraId="768B0FB2" w14:textId="77777777">
        <w:trPr>
          <w:trHeight w:val="58"/>
        </w:trPr>
        <w:tc>
          <w:tcPr>
            <w:tcW w:w="2875" w:type="dxa"/>
          </w:tcPr>
          <w:p w:rsidRPr="00654EBE" w:rsidR="00F26A69" w:rsidRDefault="00F26A69" w14:paraId="3D8DE161" w14:textId="77777777">
            <w:pPr>
              <w:spacing w:before="60" w:after="60"/>
              <w:rPr>
                <w:rFonts w:ascii="Arial" w:hAnsi="Arial" w:cs="Arial"/>
                <w:b/>
                <w:bCs/>
                <w:sz w:val="20"/>
                <w:szCs w:val="20"/>
              </w:rPr>
            </w:pPr>
            <w:r>
              <w:rPr>
                <w:rFonts w:ascii="Arial" w:hAnsi="Arial" w:cs="Arial"/>
                <w:b/>
                <w:bCs/>
                <w:sz w:val="20"/>
                <w:szCs w:val="20"/>
              </w:rPr>
              <w:t>Facility Original In-Service Date</w:t>
            </w:r>
          </w:p>
        </w:tc>
        <w:tc>
          <w:tcPr>
            <w:tcW w:w="6475" w:type="dxa"/>
          </w:tcPr>
          <w:p w:rsidRPr="00654EBE" w:rsidR="00F26A69" w:rsidRDefault="00F26A69" w14:paraId="070C1B96" w14:textId="77777777">
            <w:pPr>
              <w:spacing w:before="60" w:after="60"/>
              <w:rPr>
                <w:rFonts w:ascii="Arial" w:hAnsi="Arial" w:cs="Arial"/>
                <w:sz w:val="20"/>
                <w:szCs w:val="20"/>
                <w:highlight w:val="yellow"/>
              </w:rPr>
            </w:pPr>
            <w:r>
              <w:rPr>
                <w:rFonts w:ascii="Arial" w:hAnsi="Arial" w:cs="Arial"/>
                <w:sz w:val="20"/>
                <w:szCs w:val="20"/>
                <w:highlight w:val="yellow"/>
              </w:rPr>
              <w:t>#Month #Day, #Year</w:t>
            </w:r>
          </w:p>
        </w:tc>
      </w:tr>
    </w:tbl>
    <w:p w:rsidR="00F26A69" w:rsidP="00F26A69" w:rsidRDefault="00F26A69" w14:paraId="4FE6276F" w14:textId="77777777">
      <w:pPr>
        <w:spacing w:after="0" w:line="240" w:lineRule="auto"/>
        <w:rPr>
          <w:rFonts w:ascii="Arial" w:hAnsi="Arial" w:cs="Arial"/>
          <w:b/>
          <w:bCs/>
          <w:sz w:val="20"/>
          <w:szCs w:val="20"/>
        </w:rPr>
      </w:pPr>
    </w:p>
    <w:p w:rsidR="00F26A69" w:rsidP="00F26A69" w:rsidRDefault="00F26A69" w14:paraId="4B83AC42" w14:textId="77777777">
      <w:pPr>
        <w:spacing w:after="0" w:line="240" w:lineRule="auto"/>
        <w:rPr>
          <w:rFonts w:ascii="Arial" w:hAnsi="Arial" w:cs="Arial"/>
          <w:b/>
          <w:bCs/>
          <w:sz w:val="20"/>
          <w:szCs w:val="20"/>
        </w:rPr>
      </w:pPr>
    </w:p>
    <w:p w:rsidRPr="00654EBE" w:rsidR="00F26A69" w:rsidP="00F26A69" w:rsidRDefault="00F26A69" w14:paraId="15743F23" w14:textId="77777777">
      <w:pPr>
        <w:spacing w:after="0" w:line="240" w:lineRule="auto"/>
        <w:rPr>
          <w:rFonts w:ascii="Arial" w:hAnsi="Arial" w:cs="Arial"/>
          <w:b/>
          <w:bCs/>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6C0AE314" w14:textId="77777777">
        <w:trPr>
          <w:trHeight w:val="710"/>
        </w:trPr>
        <w:tc>
          <w:tcPr>
            <w:tcW w:w="9350" w:type="dxa"/>
            <w:gridSpan w:val="2"/>
            <w:shd w:val="clear" w:color="auto" w:fill="D9D9D9" w:themeFill="background1" w:themeFillShade="D9"/>
            <w:vAlign w:val="center"/>
          </w:tcPr>
          <w:p w:rsidRPr="00654EBE" w:rsidR="00F26A69" w:rsidRDefault="00F26A69" w14:paraId="27A6EF6B" w14:textId="77777777">
            <w:pPr>
              <w:jc w:val="center"/>
              <w:rPr>
                <w:rFonts w:ascii="Arial" w:hAnsi="Arial" w:cs="Arial"/>
                <w:b/>
                <w:bCs/>
                <w:sz w:val="20"/>
                <w:szCs w:val="20"/>
              </w:rPr>
            </w:pPr>
            <w:r>
              <w:rPr>
                <w:rFonts w:ascii="Arial" w:hAnsi="Arial" w:cs="Arial"/>
                <w:b/>
                <w:bCs/>
                <w:sz w:val="20"/>
                <w:szCs w:val="20"/>
              </w:rPr>
              <w:t>Table A-1.2</w:t>
            </w:r>
          </w:p>
          <w:p w:rsidRPr="00654EBE" w:rsidR="00F26A69" w:rsidRDefault="00F26A69" w14:paraId="4A3B9D35" w14:textId="77777777">
            <w:pPr>
              <w:jc w:val="center"/>
              <w:rPr>
                <w:rFonts w:ascii="Arial" w:hAnsi="Arial" w:cs="Arial"/>
                <w:b/>
                <w:bCs/>
                <w:sz w:val="20"/>
                <w:szCs w:val="20"/>
                <w:highlight w:val="yellow"/>
              </w:rPr>
            </w:pPr>
            <w:r>
              <w:rPr>
                <w:rFonts w:ascii="Arial" w:hAnsi="Arial" w:cs="Arial"/>
                <w:b/>
                <w:bCs/>
                <w:sz w:val="20"/>
                <w:szCs w:val="20"/>
              </w:rPr>
              <w:t>Dates</w:t>
            </w:r>
          </w:p>
        </w:tc>
      </w:tr>
      <w:tr w:rsidRPr="00654EBE" w:rsidR="00F26A69" w:rsidTr="00126CED" w14:paraId="6B828870" w14:textId="77777777">
        <w:tc>
          <w:tcPr>
            <w:tcW w:w="2875" w:type="dxa"/>
          </w:tcPr>
          <w:p w:rsidRPr="00654EBE" w:rsidR="00F26A69" w:rsidRDefault="00F26A69" w14:paraId="78B65486" w14:textId="77777777">
            <w:pPr>
              <w:spacing w:before="60" w:after="60"/>
              <w:rPr>
                <w:rFonts w:ascii="Arial" w:hAnsi="Arial" w:cs="Arial"/>
                <w:b/>
                <w:bCs/>
                <w:sz w:val="20"/>
                <w:szCs w:val="20"/>
              </w:rPr>
            </w:pPr>
            <w:r>
              <w:rPr>
                <w:rFonts w:ascii="Arial" w:hAnsi="Arial" w:cs="Arial"/>
                <w:b/>
                <w:bCs/>
                <w:sz w:val="20"/>
                <w:szCs w:val="20"/>
              </w:rPr>
              <w:t>Required Closing Date</w:t>
            </w:r>
          </w:p>
        </w:tc>
        <w:tc>
          <w:tcPr>
            <w:tcW w:w="6475" w:type="dxa"/>
          </w:tcPr>
          <w:p w:rsidRPr="00654EBE" w:rsidR="00F26A69" w:rsidRDefault="00F26A69" w14:paraId="05D58601" w14:textId="77777777">
            <w:pPr>
              <w:spacing w:before="60" w:after="60"/>
              <w:rPr>
                <w:rFonts w:ascii="Arial" w:hAnsi="Arial" w:cs="Arial"/>
                <w:sz w:val="20"/>
                <w:szCs w:val="20"/>
                <w:highlight w:val="yellow"/>
              </w:rPr>
            </w:pPr>
            <w:r>
              <w:rPr>
                <w:rFonts w:ascii="Arial" w:hAnsi="Arial" w:cs="Arial"/>
                <w:sz w:val="20"/>
                <w:szCs w:val="20"/>
                <w:highlight w:val="yellow"/>
              </w:rPr>
              <w:t>#Month #Day, #Year</w:t>
            </w:r>
          </w:p>
        </w:tc>
      </w:tr>
      <w:tr w:rsidRPr="00654EBE" w:rsidR="00F26A69" w:rsidTr="00126CED" w14:paraId="0E771C2B" w14:textId="77777777">
        <w:tc>
          <w:tcPr>
            <w:tcW w:w="2875" w:type="dxa"/>
          </w:tcPr>
          <w:p w:rsidRPr="00654EBE" w:rsidR="00F26A69" w:rsidRDefault="00F26A69" w14:paraId="09B913BF" w14:textId="77777777">
            <w:pPr>
              <w:spacing w:before="60" w:after="60"/>
              <w:rPr>
                <w:rFonts w:ascii="Arial" w:hAnsi="Arial" w:cs="Arial"/>
                <w:b/>
                <w:iCs/>
                <w:sz w:val="20"/>
                <w:szCs w:val="20"/>
              </w:rPr>
            </w:pPr>
            <w:r>
              <w:rPr>
                <w:rFonts w:ascii="Arial" w:hAnsi="Arial" w:cs="Arial"/>
                <w:b/>
                <w:bCs/>
                <w:sz w:val="20"/>
                <w:szCs w:val="20"/>
              </w:rPr>
              <w:t>Outside Date</w:t>
            </w:r>
          </w:p>
        </w:tc>
        <w:tc>
          <w:tcPr>
            <w:tcW w:w="6475" w:type="dxa"/>
          </w:tcPr>
          <w:p w:rsidRPr="00654EBE" w:rsidR="00F26A69" w:rsidRDefault="00F26A69" w14:paraId="1C373EF6" w14:textId="77777777">
            <w:pPr>
              <w:spacing w:before="60" w:after="60"/>
              <w:rPr>
                <w:rFonts w:ascii="Arial" w:hAnsi="Arial" w:cs="Arial"/>
                <w:bCs/>
                <w:iCs/>
                <w:sz w:val="20"/>
                <w:szCs w:val="20"/>
              </w:rPr>
            </w:pPr>
            <w:r>
              <w:rPr>
                <w:rFonts w:ascii="Arial" w:hAnsi="Arial" w:cs="Arial"/>
                <w:sz w:val="20"/>
                <w:szCs w:val="20"/>
                <w:highlight w:val="yellow"/>
              </w:rPr>
              <w:t>#Month #Day, #Year</w:t>
            </w:r>
          </w:p>
        </w:tc>
      </w:tr>
      <w:tr w:rsidRPr="00654EBE" w:rsidR="00F26A69" w:rsidTr="00126CED" w14:paraId="068BAC38" w14:textId="77777777">
        <w:tc>
          <w:tcPr>
            <w:tcW w:w="2875" w:type="dxa"/>
          </w:tcPr>
          <w:p w:rsidRPr="00AB38D8" w:rsidR="00F26A69" w:rsidRDefault="00F26A69" w14:paraId="0A8044F6" w14:textId="77777777">
            <w:pPr>
              <w:spacing w:before="60" w:after="60"/>
              <w:rPr>
                <w:rFonts w:ascii="Arial" w:hAnsi="Arial" w:cs="Arial"/>
                <w:b/>
                <w:iCs/>
                <w:sz w:val="20"/>
                <w:szCs w:val="20"/>
              </w:rPr>
            </w:pPr>
            <w:r>
              <w:rPr>
                <w:rFonts w:ascii="Arial" w:hAnsi="Arial" w:cs="Arial"/>
                <w:b/>
                <w:iCs/>
                <w:sz w:val="20"/>
                <w:szCs w:val="20"/>
              </w:rPr>
              <w:t>Outside Date Extension (see APA Section 9.1.1 (</w:t>
            </w:r>
            <w:r>
              <w:rPr>
                <w:rFonts w:cs="Arial"/>
                <w:b/>
                <w:bCs/>
                <w:i/>
                <w:iCs/>
              </w:rPr>
              <w:t>Termination for Failure to Close by Outside Date</w:t>
            </w:r>
            <w:r>
              <w:rPr>
                <w:rFonts w:ascii="Arial" w:hAnsi="Arial" w:cs="Arial"/>
                <w:b/>
                <w:iCs/>
                <w:sz w:val="20"/>
                <w:szCs w:val="20"/>
              </w:rPr>
              <w:t>))</w:t>
            </w:r>
          </w:p>
        </w:tc>
        <w:tc>
          <w:tcPr>
            <w:tcW w:w="6475" w:type="dxa"/>
          </w:tcPr>
          <w:p w:rsidRPr="00654EBE" w:rsidR="00F26A69" w:rsidRDefault="00F26A69" w14:paraId="75E252B4" w14:textId="77777777">
            <w:pPr>
              <w:spacing w:before="60" w:after="60"/>
              <w:rPr>
                <w:rFonts w:ascii="Arial" w:hAnsi="Arial" w:cs="Arial"/>
                <w:sz w:val="20"/>
                <w:szCs w:val="20"/>
                <w:highlight w:val="yellow"/>
              </w:rPr>
            </w:pPr>
            <w:r>
              <w:rPr>
                <w:rFonts w:ascii="Arial" w:hAnsi="Arial" w:cs="Arial"/>
                <w:sz w:val="20"/>
                <w:szCs w:val="20"/>
                <w:highlight w:val="yellow"/>
              </w:rPr>
              <w:t>#Number</w:t>
            </w:r>
            <w:r>
              <w:rPr>
                <w:rFonts w:ascii="Arial" w:hAnsi="Arial" w:cs="Arial"/>
                <w:sz w:val="20"/>
                <w:szCs w:val="20"/>
              </w:rPr>
              <w:t xml:space="preserve"> days</w:t>
            </w:r>
          </w:p>
        </w:tc>
      </w:tr>
      <w:tr w:rsidRPr="00654EBE" w:rsidR="00F26A69" w:rsidTr="00126CED" w14:paraId="67437832" w14:textId="77777777">
        <w:tc>
          <w:tcPr>
            <w:tcW w:w="2875" w:type="dxa"/>
          </w:tcPr>
          <w:p w:rsidRPr="00AB38D8" w:rsidR="00F26A69" w:rsidRDefault="00F26A69" w14:paraId="375A9851" w14:textId="6AE1CA9E">
            <w:pPr>
              <w:spacing w:before="60" w:after="60"/>
              <w:rPr>
                <w:rFonts w:ascii="Arial" w:hAnsi="Arial" w:cs="Arial"/>
                <w:b/>
                <w:iCs/>
                <w:sz w:val="20"/>
                <w:szCs w:val="20"/>
              </w:rPr>
            </w:pPr>
            <w:r>
              <w:rPr>
                <w:rFonts w:ascii="Arial" w:hAnsi="Arial" w:cs="Arial"/>
                <w:b/>
                <w:iCs/>
                <w:sz w:val="20"/>
                <w:szCs w:val="20"/>
              </w:rPr>
              <w:t>ALTA survey for Facility Real Property Completion Date (see APA Section 3.12.2</w:t>
            </w:r>
            <w:r w:rsidR="008A5618">
              <w:rPr>
                <w:rFonts w:ascii="Arial" w:hAnsi="Arial" w:cs="Arial"/>
                <w:b/>
                <w:iCs/>
                <w:sz w:val="20"/>
                <w:szCs w:val="20"/>
              </w:rPr>
              <w:t>(ii)</w:t>
            </w:r>
            <w:r>
              <w:rPr>
                <w:rFonts w:ascii="Arial" w:hAnsi="Arial" w:cs="Arial"/>
                <w:b/>
                <w:iCs/>
                <w:sz w:val="20"/>
                <w:szCs w:val="20"/>
              </w:rPr>
              <w:t xml:space="preserve"> (</w:t>
            </w:r>
            <w:r>
              <w:rPr>
                <w:rFonts w:ascii="Arial" w:hAnsi="Arial" w:cs="Arial"/>
                <w:b/>
                <w:i/>
                <w:sz w:val="20"/>
                <w:szCs w:val="20"/>
              </w:rPr>
              <w:t>Complete Copies</w:t>
            </w:r>
            <w:r>
              <w:rPr>
                <w:rFonts w:ascii="Arial" w:hAnsi="Arial" w:cs="Arial"/>
                <w:b/>
                <w:iCs/>
                <w:sz w:val="20"/>
                <w:szCs w:val="20"/>
              </w:rPr>
              <w:t>))</w:t>
            </w:r>
          </w:p>
        </w:tc>
        <w:tc>
          <w:tcPr>
            <w:tcW w:w="6475" w:type="dxa"/>
          </w:tcPr>
          <w:p w:rsidRPr="00654EBE" w:rsidR="00F26A69" w:rsidRDefault="00F26A69" w14:paraId="29922934" w14:textId="77777777">
            <w:pPr>
              <w:spacing w:before="60" w:after="60"/>
              <w:rPr>
                <w:rFonts w:ascii="Arial" w:hAnsi="Arial" w:cs="Arial"/>
                <w:bCs/>
                <w:iCs/>
                <w:sz w:val="20"/>
                <w:szCs w:val="20"/>
                <w:highlight w:val="yellow"/>
              </w:rPr>
            </w:pPr>
            <w:r>
              <w:rPr>
                <w:rFonts w:ascii="Arial" w:hAnsi="Arial" w:cs="Arial"/>
                <w:sz w:val="20"/>
                <w:szCs w:val="20"/>
                <w:highlight w:val="yellow"/>
              </w:rPr>
              <w:t>#Month #Day, #Year</w:t>
            </w:r>
          </w:p>
        </w:tc>
      </w:tr>
      <w:tr w:rsidRPr="00654EBE" w:rsidR="00F26A69" w:rsidTr="00126CED" w14:paraId="6378B4CE" w14:textId="77777777">
        <w:tc>
          <w:tcPr>
            <w:tcW w:w="2875" w:type="dxa"/>
          </w:tcPr>
          <w:p w:rsidRPr="00AB38D8" w:rsidR="00F26A69" w:rsidRDefault="00F26A69" w14:paraId="2266FADF" w14:textId="4690BDC7">
            <w:pPr>
              <w:spacing w:before="60" w:after="60"/>
              <w:rPr>
                <w:rFonts w:ascii="Arial" w:hAnsi="Arial" w:cs="Arial"/>
                <w:b/>
                <w:iCs/>
                <w:sz w:val="20"/>
                <w:szCs w:val="20"/>
              </w:rPr>
            </w:pPr>
            <w:r>
              <w:rPr>
                <w:rFonts w:ascii="Arial" w:hAnsi="Arial" w:cs="Arial"/>
                <w:b/>
                <w:iCs/>
                <w:sz w:val="20"/>
                <w:szCs w:val="20"/>
              </w:rPr>
              <w:t>Phase I and Phase II Environmental Assessment Latest Date (As Applicable) (see APA Section 6.2.4(x</w:t>
            </w:r>
            <w:r w:rsidR="00670AC5">
              <w:rPr>
                <w:rFonts w:ascii="Arial" w:hAnsi="Arial" w:cs="Arial"/>
                <w:b/>
                <w:iCs/>
                <w:sz w:val="20"/>
                <w:szCs w:val="20"/>
              </w:rPr>
              <w:t>i</w:t>
            </w:r>
            <w:r>
              <w:rPr>
                <w:rFonts w:ascii="Arial" w:hAnsi="Arial" w:cs="Arial"/>
                <w:b/>
                <w:iCs/>
                <w:sz w:val="20"/>
                <w:szCs w:val="20"/>
              </w:rPr>
              <w:t>v) (</w:t>
            </w:r>
            <w:r>
              <w:rPr>
                <w:rFonts w:ascii="Arial" w:hAnsi="Arial" w:cs="Arial"/>
                <w:b/>
                <w:i/>
                <w:sz w:val="20"/>
                <w:szCs w:val="20"/>
              </w:rPr>
              <w:t>Seller Closing Deliveries</w:t>
            </w:r>
            <w:r>
              <w:rPr>
                <w:rFonts w:ascii="Arial" w:hAnsi="Arial" w:cs="Arial"/>
                <w:b/>
                <w:iCs/>
                <w:sz w:val="20"/>
                <w:szCs w:val="20"/>
              </w:rPr>
              <w:t>))</w:t>
            </w:r>
          </w:p>
        </w:tc>
        <w:tc>
          <w:tcPr>
            <w:tcW w:w="6475" w:type="dxa"/>
          </w:tcPr>
          <w:p w:rsidRPr="00654EBE" w:rsidR="00F26A69" w:rsidRDefault="00F26A69" w14:paraId="63B2F548" w14:textId="77777777">
            <w:pPr>
              <w:spacing w:before="60" w:after="60"/>
              <w:rPr>
                <w:rFonts w:ascii="Arial" w:hAnsi="Arial" w:cs="Arial"/>
                <w:bCs/>
                <w:iCs/>
                <w:sz w:val="20"/>
                <w:szCs w:val="20"/>
                <w:highlight w:val="yellow"/>
              </w:rPr>
            </w:pPr>
            <w:r>
              <w:rPr>
                <w:rFonts w:ascii="Arial" w:hAnsi="Arial" w:cs="Arial"/>
                <w:sz w:val="20"/>
                <w:szCs w:val="20"/>
                <w:highlight w:val="yellow"/>
              </w:rPr>
              <w:t>#Number</w:t>
            </w:r>
            <w:r>
              <w:rPr>
                <w:rFonts w:ascii="Arial" w:hAnsi="Arial" w:cs="Arial"/>
                <w:sz w:val="20"/>
                <w:szCs w:val="20"/>
              </w:rPr>
              <w:t xml:space="preserve"> days before the Closing Date</w:t>
            </w:r>
          </w:p>
        </w:tc>
      </w:tr>
      <w:tr w:rsidRPr="00654EBE" w:rsidR="00F26A69" w:rsidTr="00126CED" w14:paraId="3282C75E" w14:textId="77777777">
        <w:tc>
          <w:tcPr>
            <w:tcW w:w="2875" w:type="dxa"/>
          </w:tcPr>
          <w:p w:rsidRPr="00AB38D8" w:rsidR="00F26A69" w:rsidRDefault="00F26A69" w14:paraId="28BD2106" w14:textId="77777777">
            <w:pPr>
              <w:spacing w:before="60" w:after="60"/>
              <w:rPr>
                <w:rFonts w:ascii="Arial" w:hAnsi="Arial" w:cs="Arial"/>
                <w:b/>
                <w:iCs/>
                <w:sz w:val="20"/>
                <w:szCs w:val="20"/>
              </w:rPr>
            </w:pPr>
            <w:r>
              <w:rPr>
                <w:rFonts w:ascii="Arial" w:hAnsi="Arial" w:cs="Arial"/>
                <w:b/>
                <w:iCs/>
                <w:sz w:val="20"/>
                <w:szCs w:val="20"/>
              </w:rPr>
              <w:t>GPC On-Site Representatives Proposed Date (see APA Section 5.2.2 (GPC On-Site Representatives))</w:t>
            </w:r>
          </w:p>
        </w:tc>
        <w:tc>
          <w:tcPr>
            <w:tcW w:w="6475" w:type="dxa"/>
          </w:tcPr>
          <w:p w:rsidRPr="00654EBE" w:rsidR="00F26A69" w:rsidRDefault="00F26A69" w14:paraId="7AA8A304" w14:textId="77777777">
            <w:pPr>
              <w:spacing w:before="60" w:after="60"/>
              <w:rPr>
                <w:rFonts w:ascii="Arial" w:hAnsi="Arial" w:cs="Arial"/>
                <w:sz w:val="20"/>
                <w:szCs w:val="20"/>
                <w:highlight w:val="yellow"/>
              </w:rPr>
            </w:pPr>
            <w:r>
              <w:rPr>
                <w:rFonts w:ascii="Arial" w:hAnsi="Arial" w:cs="Arial"/>
                <w:sz w:val="20"/>
                <w:szCs w:val="20"/>
                <w:highlight w:val="yellow"/>
              </w:rPr>
              <w:t>#Month #Day, #Year</w:t>
            </w:r>
          </w:p>
        </w:tc>
      </w:tr>
    </w:tbl>
    <w:p w:rsidR="00F26A69" w:rsidP="00F26A69" w:rsidRDefault="00F26A69" w14:paraId="5E271ED0" w14:textId="77777777">
      <w:pPr>
        <w:spacing w:after="0" w:line="240" w:lineRule="auto"/>
        <w:rPr>
          <w:rFonts w:ascii="Arial" w:hAnsi="Arial" w:cs="Arial"/>
          <w:b/>
          <w:bCs/>
          <w:sz w:val="20"/>
          <w:szCs w:val="20"/>
        </w:rPr>
      </w:pPr>
    </w:p>
    <w:p w:rsidR="00F26A69" w:rsidP="00F26A69" w:rsidRDefault="00F26A69" w14:paraId="1DD5FE36" w14:textId="77777777">
      <w:pPr>
        <w:spacing w:after="0" w:line="240" w:lineRule="auto"/>
        <w:rPr>
          <w:rFonts w:ascii="Arial" w:hAnsi="Arial" w:cs="Arial"/>
          <w:b/>
          <w:bCs/>
          <w:sz w:val="20"/>
          <w:szCs w:val="20"/>
        </w:rPr>
      </w:pPr>
    </w:p>
    <w:p w:rsidR="00F26A69" w:rsidP="00F26A69" w:rsidRDefault="00F26A69" w14:paraId="35861FA1" w14:textId="77777777">
      <w:pPr>
        <w:spacing w:after="0" w:line="240" w:lineRule="auto"/>
        <w:rPr>
          <w:rFonts w:ascii="Arial" w:hAnsi="Arial" w:cs="Arial"/>
          <w:b/>
          <w:bCs/>
          <w:sz w:val="20"/>
          <w:szCs w:val="20"/>
        </w:rPr>
      </w:pPr>
    </w:p>
    <w:p w:rsidR="00F26A69" w:rsidP="00F26A69" w:rsidRDefault="00F26A69" w14:paraId="75783E4C" w14:textId="77777777">
      <w:pPr>
        <w:spacing w:after="0" w:line="240" w:lineRule="auto"/>
        <w:rPr>
          <w:rFonts w:ascii="Arial" w:hAnsi="Arial" w:cs="Arial"/>
          <w:sz w:val="20"/>
          <w:szCs w:val="20"/>
        </w:rPr>
      </w:pPr>
    </w:p>
    <w:p w:rsidR="007C5179" w:rsidP="00F26A69" w:rsidRDefault="007C5179" w14:paraId="20FAEF82" w14:textId="77777777">
      <w:pPr>
        <w:spacing w:after="0" w:line="240" w:lineRule="auto"/>
        <w:rPr>
          <w:rFonts w:ascii="Arial" w:hAnsi="Arial" w:cs="Arial"/>
          <w:sz w:val="20"/>
          <w:szCs w:val="20"/>
        </w:rPr>
      </w:pPr>
    </w:p>
    <w:p w:rsidRPr="00654EBE" w:rsidR="007C5179" w:rsidP="00F26A69" w:rsidRDefault="007C5179" w14:paraId="1E4C21C2" w14:textId="77777777">
      <w:pPr>
        <w:spacing w:after="0" w:line="240" w:lineRule="auto"/>
        <w:rPr>
          <w:rFonts w:ascii="Arial" w:hAnsi="Arial" w:cs="Arial"/>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7868A1C7" w14:textId="77777777">
        <w:trPr>
          <w:trHeight w:val="710"/>
        </w:trPr>
        <w:tc>
          <w:tcPr>
            <w:tcW w:w="9350" w:type="dxa"/>
            <w:gridSpan w:val="2"/>
            <w:shd w:val="clear" w:color="auto" w:fill="D9D9D9" w:themeFill="background1" w:themeFillShade="D9"/>
            <w:vAlign w:val="center"/>
          </w:tcPr>
          <w:p w:rsidRPr="00654EBE" w:rsidR="00F26A69" w:rsidRDefault="00F26A69" w14:paraId="69B7DED3" w14:textId="77777777">
            <w:pPr>
              <w:jc w:val="center"/>
              <w:rPr>
                <w:rFonts w:ascii="Arial" w:hAnsi="Arial" w:cs="Arial"/>
                <w:b/>
                <w:bCs/>
                <w:sz w:val="20"/>
                <w:szCs w:val="20"/>
              </w:rPr>
            </w:pPr>
            <w:r>
              <w:rPr>
                <w:rFonts w:ascii="Arial" w:hAnsi="Arial" w:cs="Arial"/>
                <w:b/>
                <w:bCs/>
                <w:sz w:val="20"/>
                <w:szCs w:val="20"/>
              </w:rPr>
              <w:lastRenderedPageBreak/>
              <w:t>Table A-1.3</w:t>
            </w:r>
          </w:p>
          <w:p w:rsidRPr="00654EBE" w:rsidR="00F26A69" w:rsidRDefault="00F26A69" w14:paraId="4DEC2C34" w14:textId="77777777">
            <w:pPr>
              <w:jc w:val="center"/>
              <w:rPr>
                <w:rFonts w:ascii="Arial" w:hAnsi="Arial" w:cs="Arial"/>
                <w:b/>
                <w:bCs/>
                <w:sz w:val="20"/>
                <w:szCs w:val="20"/>
                <w:highlight w:val="yellow"/>
              </w:rPr>
            </w:pPr>
            <w:r>
              <w:rPr>
                <w:rFonts w:ascii="Arial" w:hAnsi="Arial" w:cs="Arial"/>
                <w:b/>
                <w:bCs/>
                <w:sz w:val="20"/>
                <w:szCs w:val="20"/>
              </w:rPr>
              <w:t>Financial Information</w:t>
            </w:r>
          </w:p>
        </w:tc>
      </w:tr>
      <w:tr w:rsidRPr="00654EBE" w:rsidR="00F26A69" w:rsidTr="00126CED" w14:paraId="5A17DA17" w14:textId="77777777">
        <w:tc>
          <w:tcPr>
            <w:tcW w:w="2875" w:type="dxa"/>
          </w:tcPr>
          <w:p w:rsidRPr="00654EBE" w:rsidR="00F26A69" w:rsidRDefault="00F26A69" w14:paraId="611335CB" w14:textId="77777777">
            <w:pPr>
              <w:spacing w:before="60" w:after="60"/>
              <w:rPr>
                <w:rFonts w:ascii="Arial" w:hAnsi="Arial" w:cs="Arial"/>
                <w:b/>
                <w:bCs/>
                <w:sz w:val="20"/>
                <w:szCs w:val="20"/>
              </w:rPr>
            </w:pPr>
            <w:r>
              <w:rPr>
                <w:rFonts w:ascii="Arial" w:hAnsi="Arial" w:cs="Arial"/>
                <w:b/>
                <w:bCs/>
                <w:sz w:val="20"/>
                <w:szCs w:val="20"/>
              </w:rPr>
              <w:t>Base Purchase Price Amount</w:t>
            </w:r>
          </w:p>
        </w:tc>
        <w:tc>
          <w:tcPr>
            <w:tcW w:w="6475" w:type="dxa"/>
          </w:tcPr>
          <w:p w:rsidRPr="00654EBE" w:rsidR="00F26A69" w:rsidRDefault="00F26A69" w14:paraId="3903992B" w14:textId="77777777">
            <w:pPr>
              <w:spacing w:before="60" w:after="60"/>
              <w:rPr>
                <w:rFonts w:ascii="Arial" w:hAnsi="Arial" w:cs="Arial"/>
                <w:sz w:val="20"/>
                <w:szCs w:val="20"/>
                <w:highlight w:val="yellow"/>
              </w:rPr>
            </w:pPr>
            <w:r>
              <w:rPr>
                <w:rFonts w:ascii="Arial" w:hAnsi="Arial" w:cs="Arial"/>
                <w:sz w:val="20"/>
                <w:szCs w:val="20"/>
              </w:rPr>
              <w:t>$</w:t>
            </w:r>
            <w:r>
              <w:rPr>
                <w:rFonts w:ascii="Arial" w:hAnsi="Arial" w:cs="Arial"/>
                <w:sz w:val="20"/>
                <w:szCs w:val="20"/>
                <w:highlight w:val="yellow"/>
              </w:rPr>
              <w:t>#</w:t>
            </w:r>
            <w:proofErr w:type="spellStart"/>
            <w:r>
              <w:rPr>
                <w:rFonts w:ascii="Arial" w:hAnsi="Arial" w:cs="Arial"/>
                <w:sz w:val="20"/>
                <w:szCs w:val="20"/>
                <w:highlight w:val="yellow"/>
              </w:rPr>
              <w:t>BasePurchasePriceAmount</w:t>
            </w:r>
            <w:proofErr w:type="spellEnd"/>
          </w:p>
        </w:tc>
      </w:tr>
      <w:tr w:rsidRPr="00654EBE" w:rsidR="00F26A69" w:rsidTr="00126CED" w14:paraId="30EC2CAC" w14:textId="77777777">
        <w:tc>
          <w:tcPr>
            <w:tcW w:w="2875" w:type="dxa"/>
          </w:tcPr>
          <w:p w:rsidRPr="00654EBE" w:rsidR="00F26A69" w:rsidRDefault="00EA7D55" w14:paraId="60168B88" w14:textId="77777777">
            <w:pPr>
              <w:spacing w:before="60" w:after="60"/>
              <w:rPr>
                <w:rFonts w:ascii="Arial" w:hAnsi="Arial" w:cs="Arial"/>
                <w:b/>
                <w:iCs/>
                <w:sz w:val="20"/>
                <w:szCs w:val="20"/>
              </w:rPr>
            </w:pPr>
            <w:r>
              <w:rPr>
                <w:rFonts w:ascii="Arial" w:hAnsi="Arial" w:cs="Arial"/>
                <w:b/>
                <w:iCs/>
                <w:sz w:val="20"/>
                <w:szCs w:val="20"/>
              </w:rPr>
              <w:t>Seller Termination Payment Amount</w:t>
            </w:r>
          </w:p>
        </w:tc>
        <w:tc>
          <w:tcPr>
            <w:tcW w:w="6475" w:type="dxa"/>
          </w:tcPr>
          <w:p w:rsidRPr="00654EBE" w:rsidR="00F26A69" w:rsidRDefault="00F26A69" w14:paraId="5BF3BED1" w14:textId="77777777">
            <w:pPr>
              <w:spacing w:before="60" w:after="60"/>
              <w:rPr>
                <w:rFonts w:ascii="Arial" w:hAnsi="Arial" w:cs="Arial"/>
                <w:bCs/>
                <w:iCs/>
                <w:sz w:val="20"/>
                <w:szCs w:val="20"/>
              </w:rPr>
            </w:pPr>
            <w:r>
              <w:rPr>
                <w:rFonts w:ascii="Arial" w:hAnsi="Arial" w:cs="Arial"/>
                <w:sz w:val="20"/>
                <w:szCs w:val="20"/>
              </w:rPr>
              <w:t>$</w:t>
            </w:r>
            <w:r>
              <w:rPr>
                <w:rFonts w:ascii="Arial" w:hAnsi="Arial" w:cs="Arial"/>
                <w:sz w:val="20"/>
                <w:szCs w:val="20"/>
                <w:highlight w:val="yellow"/>
              </w:rPr>
              <w:t>#</w:t>
            </w:r>
            <w:proofErr w:type="spellStart"/>
            <w:r>
              <w:rPr>
                <w:rFonts w:ascii="Arial" w:hAnsi="Arial" w:cs="Arial"/>
                <w:sz w:val="20"/>
                <w:szCs w:val="20"/>
                <w:highlight w:val="yellow"/>
              </w:rPr>
              <w:t>SellerTerminationPaymentAmount</w:t>
            </w:r>
            <w:proofErr w:type="spellEnd"/>
          </w:p>
        </w:tc>
      </w:tr>
      <w:tr w:rsidRPr="00654EBE" w:rsidR="00EA7D55" w:rsidTr="00126CED" w14:paraId="25F206B8" w14:textId="77777777">
        <w:tc>
          <w:tcPr>
            <w:tcW w:w="2875" w:type="dxa"/>
          </w:tcPr>
          <w:p w:rsidRPr="00654EBE" w:rsidR="00EA7D55" w:rsidP="00EA7D55" w:rsidRDefault="00EA7D55" w14:paraId="6F7A86AB" w14:textId="77777777">
            <w:pPr>
              <w:spacing w:before="60" w:after="60"/>
              <w:rPr>
                <w:rFonts w:ascii="Arial" w:hAnsi="Arial" w:cs="Arial"/>
                <w:b/>
                <w:iCs/>
                <w:sz w:val="20"/>
                <w:szCs w:val="20"/>
              </w:rPr>
            </w:pPr>
            <w:r>
              <w:rPr>
                <w:rFonts w:ascii="Arial" w:hAnsi="Arial" w:cs="Arial"/>
                <w:b/>
                <w:iCs/>
                <w:sz w:val="20"/>
                <w:szCs w:val="20"/>
              </w:rPr>
              <w:t>GPC Termination Payment Amount</w:t>
            </w:r>
          </w:p>
        </w:tc>
        <w:tc>
          <w:tcPr>
            <w:tcW w:w="6475" w:type="dxa"/>
          </w:tcPr>
          <w:p w:rsidRPr="00654EBE" w:rsidR="00EA7D55" w:rsidP="00EA7D55" w:rsidRDefault="00EA7D55" w14:paraId="4A8D3333" w14:textId="77777777">
            <w:pPr>
              <w:spacing w:before="60" w:after="60"/>
              <w:rPr>
                <w:rFonts w:ascii="Arial" w:hAnsi="Arial" w:cs="Arial"/>
                <w:sz w:val="20"/>
                <w:szCs w:val="20"/>
              </w:rPr>
            </w:pPr>
            <w:r>
              <w:rPr>
                <w:rFonts w:ascii="Arial" w:hAnsi="Arial" w:cs="Arial"/>
                <w:sz w:val="20"/>
                <w:szCs w:val="20"/>
              </w:rPr>
              <w:t>$</w:t>
            </w:r>
            <w:r>
              <w:rPr>
                <w:rFonts w:ascii="Arial" w:hAnsi="Arial" w:cs="Arial"/>
                <w:sz w:val="20"/>
                <w:szCs w:val="20"/>
                <w:highlight w:val="yellow"/>
              </w:rPr>
              <w:t>#</w:t>
            </w:r>
            <w:proofErr w:type="spellStart"/>
            <w:r>
              <w:rPr>
                <w:rFonts w:ascii="Arial" w:hAnsi="Arial" w:cs="Arial"/>
                <w:sz w:val="20"/>
                <w:szCs w:val="20"/>
                <w:highlight w:val="yellow"/>
              </w:rPr>
              <w:t>GPCTerminationPaymentAmount</w:t>
            </w:r>
            <w:proofErr w:type="spellEnd"/>
          </w:p>
        </w:tc>
      </w:tr>
      <w:tr w:rsidRPr="00654EBE" w:rsidR="00EA7D55" w:rsidTr="00126CED" w14:paraId="5E1D7134" w14:textId="77777777">
        <w:tc>
          <w:tcPr>
            <w:tcW w:w="2875" w:type="dxa"/>
          </w:tcPr>
          <w:p w:rsidRPr="00654EBE" w:rsidR="00EA7D55" w:rsidP="00EA7D55" w:rsidRDefault="00EA7D55" w14:paraId="1D22A716" w14:textId="77777777">
            <w:pPr>
              <w:spacing w:before="60" w:after="60"/>
              <w:rPr>
                <w:rFonts w:ascii="Arial" w:hAnsi="Arial" w:cs="Arial"/>
                <w:b/>
                <w:iCs/>
                <w:sz w:val="20"/>
                <w:szCs w:val="20"/>
              </w:rPr>
            </w:pPr>
            <w:r>
              <w:rPr>
                <w:rFonts w:ascii="Arial" w:hAnsi="Arial" w:cs="Arial"/>
                <w:b/>
                <w:iCs/>
                <w:sz w:val="20"/>
                <w:szCs w:val="20"/>
              </w:rPr>
              <w:t>Tax Benefit Percentage</w:t>
            </w:r>
          </w:p>
        </w:tc>
        <w:tc>
          <w:tcPr>
            <w:tcW w:w="6475" w:type="dxa"/>
          </w:tcPr>
          <w:p w:rsidRPr="00654EBE" w:rsidR="00EA7D55" w:rsidP="00EA7D55" w:rsidRDefault="00EA7D55" w14:paraId="5570A958" w14:textId="77777777">
            <w:pPr>
              <w:spacing w:before="60" w:after="60"/>
              <w:rPr>
                <w:rFonts w:ascii="Arial" w:hAnsi="Arial" w:cs="Arial"/>
                <w:bCs/>
                <w:iCs/>
                <w:sz w:val="20"/>
                <w:szCs w:val="20"/>
                <w:highlight w:val="yellow"/>
              </w:rPr>
            </w:pPr>
            <w:r>
              <w:rPr>
                <w:rFonts w:ascii="Arial" w:hAnsi="Arial" w:cs="Arial"/>
                <w:bCs/>
                <w:iCs/>
                <w:sz w:val="20"/>
                <w:szCs w:val="20"/>
                <w:highlight w:val="yellow"/>
              </w:rPr>
              <w:t>#Number</w:t>
            </w:r>
            <w:r>
              <w:rPr>
                <w:rFonts w:ascii="Arial" w:hAnsi="Arial" w:cs="Arial"/>
                <w:bCs/>
                <w:iCs/>
                <w:sz w:val="20"/>
                <w:szCs w:val="20"/>
              </w:rPr>
              <w:t>%</w:t>
            </w:r>
          </w:p>
        </w:tc>
      </w:tr>
      <w:tr w:rsidRPr="00654EBE" w:rsidR="00EA7D55" w:rsidTr="00126CED" w14:paraId="1D792422" w14:textId="77777777">
        <w:tc>
          <w:tcPr>
            <w:tcW w:w="2875" w:type="dxa"/>
          </w:tcPr>
          <w:p w:rsidRPr="00654EBE" w:rsidR="00EA7D55" w:rsidP="00EA7D55" w:rsidRDefault="00EA7D55" w14:paraId="2A8CC8BC" w14:textId="77777777">
            <w:pPr>
              <w:spacing w:before="60" w:after="60"/>
              <w:rPr>
                <w:rFonts w:ascii="Arial" w:hAnsi="Arial" w:cs="Arial"/>
                <w:b/>
                <w:bCs/>
                <w:sz w:val="20"/>
                <w:szCs w:val="20"/>
              </w:rPr>
            </w:pPr>
            <w:r>
              <w:rPr>
                <w:rFonts w:ascii="Arial" w:hAnsi="Arial" w:cs="Arial"/>
                <w:b/>
                <w:bCs/>
                <w:sz w:val="20"/>
                <w:szCs w:val="20"/>
              </w:rPr>
              <w:t>Interim Balance Sheet Date</w:t>
            </w:r>
          </w:p>
        </w:tc>
        <w:tc>
          <w:tcPr>
            <w:tcW w:w="6475" w:type="dxa"/>
          </w:tcPr>
          <w:p w:rsidRPr="00654EBE" w:rsidR="00EA7D55" w:rsidP="00EA7D55" w:rsidRDefault="00EA7D55" w14:paraId="75FD9CE6" w14:textId="77777777">
            <w:pPr>
              <w:spacing w:before="60" w:after="60"/>
              <w:rPr>
                <w:rFonts w:ascii="Arial" w:hAnsi="Arial" w:cs="Arial"/>
                <w:sz w:val="20"/>
                <w:szCs w:val="20"/>
                <w:highlight w:val="yellow"/>
              </w:rPr>
            </w:pPr>
            <w:r>
              <w:rPr>
                <w:rFonts w:ascii="Arial" w:hAnsi="Arial" w:cs="Arial"/>
                <w:sz w:val="20"/>
                <w:szCs w:val="20"/>
                <w:highlight w:val="yellow"/>
              </w:rPr>
              <w:t>#Month #Day, #Year</w:t>
            </w:r>
          </w:p>
        </w:tc>
      </w:tr>
      <w:tr w:rsidRPr="00654EBE" w:rsidR="00EA7D55" w:rsidTr="00126CED" w14:paraId="2EDE0F68" w14:textId="77777777">
        <w:tc>
          <w:tcPr>
            <w:tcW w:w="2875" w:type="dxa"/>
          </w:tcPr>
          <w:p w:rsidRPr="00AB38D8" w:rsidR="00EA7D55" w:rsidP="00EA7D55" w:rsidRDefault="00EA7D55" w14:paraId="4B6BFA80" w14:textId="77777777">
            <w:pPr>
              <w:spacing w:before="60" w:after="60"/>
              <w:rPr>
                <w:rFonts w:ascii="Arial" w:hAnsi="Arial" w:cs="Arial"/>
                <w:b/>
                <w:bCs/>
                <w:sz w:val="20"/>
                <w:szCs w:val="20"/>
              </w:rPr>
            </w:pPr>
            <w:r>
              <w:rPr>
                <w:rFonts w:ascii="Arial" w:hAnsi="Arial" w:cs="Arial"/>
                <w:b/>
                <w:bCs/>
                <w:sz w:val="20"/>
                <w:szCs w:val="20"/>
              </w:rPr>
              <w:t>Period for Related Seller Statements of Operations and Comprehensive Income and Statements of Members Equity and Cash Flows (See APA Section 3.16.1 (</w:t>
            </w:r>
            <w:r>
              <w:rPr>
                <w:rFonts w:ascii="Arial" w:hAnsi="Arial" w:cs="Arial"/>
                <w:b/>
                <w:bCs/>
                <w:i/>
                <w:iCs/>
                <w:sz w:val="20"/>
                <w:szCs w:val="20"/>
              </w:rPr>
              <w:t>Seller Financial Statements</w:t>
            </w:r>
            <w:r>
              <w:rPr>
                <w:rFonts w:ascii="Arial" w:hAnsi="Arial" w:cs="Arial"/>
                <w:b/>
                <w:bCs/>
                <w:sz w:val="20"/>
                <w:szCs w:val="20"/>
              </w:rPr>
              <w:t>))</w:t>
            </w:r>
          </w:p>
        </w:tc>
        <w:tc>
          <w:tcPr>
            <w:tcW w:w="6475" w:type="dxa"/>
          </w:tcPr>
          <w:p w:rsidRPr="00654EBE" w:rsidR="00EA7D55" w:rsidP="00EA7D55" w:rsidRDefault="00EA7D55" w14:paraId="0875EBA7" w14:textId="77777777">
            <w:pPr>
              <w:spacing w:before="60" w:after="60"/>
              <w:rPr>
                <w:rFonts w:ascii="Arial" w:hAnsi="Arial" w:cs="Arial"/>
                <w:sz w:val="20"/>
                <w:szCs w:val="20"/>
                <w:highlight w:val="yellow"/>
              </w:rPr>
            </w:pPr>
            <w:r>
              <w:rPr>
                <w:rFonts w:ascii="Arial" w:hAnsi="Arial" w:cs="Arial"/>
                <w:sz w:val="20"/>
                <w:szCs w:val="20"/>
                <w:highlight w:val="yellow"/>
              </w:rPr>
              <w:t>#Number</w:t>
            </w:r>
            <w:r>
              <w:rPr>
                <w:rFonts w:ascii="Arial" w:hAnsi="Arial" w:cs="Arial"/>
                <w:sz w:val="20"/>
                <w:szCs w:val="20"/>
              </w:rPr>
              <w:t>-month period then ended</w:t>
            </w:r>
          </w:p>
        </w:tc>
      </w:tr>
      <w:tr w:rsidRPr="00654EBE" w:rsidR="00EA7D55" w:rsidTr="00126CED" w14:paraId="0CE6E6F7" w14:textId="77777777">
        <w:tc>
          <w:tcPr>
            <w:tcW w:w="2875" w:type="dxa"/>
          </w:tcPr>
          <w:p w:rsidRPr="00AB38D8" w:rsidR="00EA7D55" w:rsidP="00EA7D55" w:rsidRDefault="00EA7D55" w14:paraId="1801C2EE" w14:textId="77777777">
            <w:pPr>
              <w:spacing w:before="60" w:after="60"/>
              <w:rPr>
                <w:rFonts w:ascii="Arial" w:hAnsi="Arial" w:cs="Arial"/>
                <w:b/>
                <w:iCs/>
                <w:sz w:val="20"/>
                <w:szCs w:val="20"/>
              </w:rPr>
            </w:pPr>
            <w:r>
              <w:rPr>
                <w:rFonts w:ascii="Arial" w:hAnsi="Arial" w:cs="Arial"/>
                <w:b/>
                <w:iCs/>
                <w:sz w:val="20"/>
                <w:szCs w:val="20"/>
              </w:rPr>
              <w:t xml:space="preserve">Seller Unaudited Balance Year </w:t>
            </w:r>
            <w:r>
              <w:rPr>
                <w:rFonts w:ascii="Arial" w:hAnsi="Arial" w:cs="Arial"/>
                <w:b/>
                <w:bCs/>
                <w:sz w:val="20"/>
                <w:szCs w:val="20"/>
              </w:rPr>
              <w:t>(See APA Section 3.16.1 (</w:t>
            </w:r>
            <w:r>
              <w:rPr>
                <w:rFonts w:ascii="Arial" w:hAnsi="Arial" w:cs="Arial"/>
                <w:b/>
                <w:bCs/>
                <w:i/>
                <w:iCs/>
                <w:sz w:val="20"/>
                <w:szCs w:val="20"/>
              </w:rPr>
              <w:t>Seller Financial Statements</w:t>
            </w:r>
            <w:r>
              <w:rPr>
                <w:rFonts w:ascii="Arial" w:hAnsi="Arial" w:cs="Arial"/>
                <w:b/>
                <w:bCs/>
                <w:sz w:val="20"/>
                <w:szCs w:val="20"/>
              </w:rPr>
              <w:t>))</w:t>
            </w:r>
          </w:p>
        </w:tc>
        <w:tc>
          <w:tcPr>
            <w:tcW w:w="6475" w:type="dxa"/>
          </w:tcPr>
          <w:p w:rsidRPr="00654EBE" w:rsidR="00EA7D55" w:rsidP="00EA7D55" w:rsidRDefault="00EA7D55" w14:paraId="169FD624" w14:textId="77777777">
            <w:pPr>
              <w:spacing w:before="60" w:after="60"/>
              <w:rPr>
                <w:rFonts w:ascii="Arial" w:hAnsi="Arial" w:cs="Arial"/>
                <w:bCs/>
                <w:iCs/>
                <w:sz w:val="20"/>
                <w:szCs w:val="20"/>
              </w:rPr>
            </w:pPr>
            <w:r>
              <w:rPr>
                <w:rFonts w:ascii="Arial" w:hAnsi="Arial" w:cs="Arial"/>
                <w:sz w:val="20"/>
                <w:szCs w:val="20"/>
                <w:highlight w:val="yellow"/>
              </w:rPr>
              <w:t>#Year</w:t>
            </w:r>
          </w:p>
        </w:tc>
      </w:tr>
      <w:tr w:rsidRPr="00654EBE" w:rsidR="00EA7D55" w:rsidTr="00126CED" w14:paraId="3FA0F8C8" w14:textId="77777777">
        <w:tc>
          <w:tcPr>
            <w:tcW w:w="2875" w:type="dxa"/>
          </w:tcPr>
          <w:p w:rsidRPr="00AB38D8" w:rsidR="00EA7D55" w:rsidP="00EA7D55" w:rsidRDefault="00EA7D55" w14:paraId="11375AF0" w14:textId="1BE48FFD">
            <w:pPr>
              <w:spacing w:before="60" w:after="60"/>
              <w:rPr>
                <w:rFonts w:ascii="Arial" w:hAnsi="Arial" w:cs="Arial"/>
                <w:b/>
                <w:iCs/>
                <w:sz w:val="20"/>
                <w:szCs w:val="20"/>
              </w:rPr>
            </w:pPr>
            <w:r>
              <w:rPr>
                <w:rFonts w:ascii="Arial" w:hAnsi="Arial" w:cs="Arial"/>
                <w:b/>
                <w:bCs/>
                <w:sz w:val="20"/>
                <w:szCs w:val="20"/>
              </w:rPr>
              <w:t>Period for Related Seller Guarantor Statements of Operations and Comprehensive Income and Statements of Members Equity and Cash Flows (See APA Section 3.16.2 (</w:t>
            </w:r>
            <w:r>
              <w:rPr>
                <w:rFonts w:ascii="Arial" w:hAnsi="Arial" w:cs="Arial"/>
                <w:b/>
                <w:bCs/>
                <w:i/>
                <w:iCs/>
                <w:sz w:val="20"/>
                <w:szCs w:val="20"/>
              </w:rPr>
              <w:t>Guarantor Financial Statements</w:t>
            </w:r>
            <w:r>
              <w:rPr>
                <w:rFonts w:ascii="Arial" w:hAnsi="Arial" w:cs="Arial"/>
                <w:b/>
                <w:bCs/>
                <w:sz w:val="20"/>
                <w:szCs w:val="20"/>
              </w:rPr>
              <w:t>))</w:t>
            </w:r>
          </w:p>
        </w:tc>
        <w:tc>
          <w:tcPr>
            <w:tcW w:w="6475" w:type="dxa"/>
          </w:tcPr>
          <w:p w:rsidRPr="00654EBE" w:rsidR="00EA7D55" w:rsidP="00EA7D55" w:rsidRDefault="00EA7D55" w14:paraId="13A86E6D" w14:textId="77777777">
            <w:pPr>
              <w:spacing w:before="60" w:after="60"/>
              <w:rPr>
                <w:rFonts w:ascii="Arial" w:hAnsi="Arial" w:cs="Arial"/>
                <w:bCs/>
                <w:iCs/>
                <w:sz w:val="20"/>
                <w:szCs w:val="20"/>
              </w:rPr>
            </w:pPr>
            <w:r>
              <w:rPr>
                <w:rFonts w:ascii="Arial" w:hAnsi="Arial" w:cs="Arial"/>
                <w:sz w:val="20"/>
                <w:szCs w:val="20"/>
                <w:highlight w:val="yellow"/>
              </w:rPr>
              <w:t>#Number</w:t>
            </w:r>
            <w:r>
              <w:rPr>
                <w:rFonts w:ascii="Arial" w:hAnsi="Arial" w:cs="Arial"/>
                <w:sz w:val="20"/>
                <w:szCs w:val="20"/>
              </w:rPr>
              <w:t>-month period then ended</w:t>
            </w:r>
          </w:p>
        </w:tc>
      </w:tr>
      <w:tr w:rsidRPr="00654EBE" w:rsidR="00EA7D55" w:rsidTr="00126CED" w14:paraId="6737BDF0" w14:textId="77777777">
        <w:tc>
          <w:tcPr>
            <w:tcW w:w="2875" w:type="dxa"/>
          </w:tcPr>
          <w:p w:rsidRPr="00AB38D8" w:rsidR="00EA7D55" w:rsidP="00EA7D55" w:rsidRDefault="00EA7D55" w14:paraId="1D74D871" w14:textId="77777777">
            <w:pPr>
              <w:spacing w:before="60" w:after="60"/>
              <w:rPr>
                <w:rFonts w:ascii="Arial" w:hAnsi="Arial" w:cs="Arial"/>
                <w:b/>
                <w:iCs/>
                <w:sz w:val="20"/>
                <w:szCs w:val="20"/>
              </w:rPr>
            </w:pPr>
            <w:r>
              <w:rPr>
                <w:rFonts w:ascii="Arial" w:hAnsi="Arial" w:cs="Arial"/>
                <w:b/>
                <w:iCs/>
                <w:sz w:val="20"/>
                <w:szCs w:val="20"/>
              </w:rPr>
              <w:t xml:space="preserve">Guarantor Unaudited Balance Year </w:t>
            </w:r>
            <w:r>
              <w:rPr>
                <w:rFonts w:ascii="Arial" w:hAnsi="Arial" w:cs="Arial"/>
                <w:b/>
                <w:bCs/>
                <w:sz w:val="20"/>
                <w:szCs w:val="20"/>
              </w:rPr>
              <w:t>(See APA Section 3.16.2 (</w:t>
            </w:r>
            <w:r>
              <w:rPr>
                <w:rFonts w:ascii="Arial" w:hAnsi="Arial" w:cs="Arial"/>
                <w:b/>
                <w:bCs/>
                <w:i/>
                <w:iCs/>
                <w:sz w:val="20"/>
                <w:szCs w:val="20"/>
              </w:rPr>
              <w:t>Guarantor Financial Statements</w:t>
            </w:r>
            <w:r>
              <w:rPr>
                <w:rFonts w:ascii="Arial" w:hAnsi="Arial" w:cs="Arial"/>
                <w:b/>
                <w:bCs/>
                <w:sz w:val="20"/>
                <w:szCs w:val="20"/>
              </w:rPr>
              <w:t>))</w:t>
            </w:r>
          </w:p>
        </w:tc>
        <w:tc>
          <w:tcPr>
            <w:tcW w:w="6475" w:type="dxa"/>
          </w:tcPr>
          <w:p w:rsidRPr="00654EBE" w:rsidR="00EA7D55" w:rsidP="00EA7D55" w:rsidRDefault="00EA7D55" w14:paraId="26A01AFA" w14:textId="77777777">
            <w:pPr>
              <w:spacing w:before="60" w:after="60"/>
              <w:rPr>
                <w:rFonts w:ascii="Arial" w:hAnsi="Arial" w:cs="Arial"/>
                <w:bCs/>
                <w:iCs/>
                <w:sz w:val="20"/>
                <w:szCs w:val="20"/>
              </w:rPr>
            </w:pPr>
            <w:r>
              <w:rPr>
                <w:rFonts w:ascii="Arial" w:hAnsi="Arial" w:cs="Arial"/>
                <w:sz w:val="20"/>
                <w:szCs w:val="20"/>
                <w:highlight w:val="yellow"/>
              </w:rPr>
              <w:t>#Year</w:t>
            </w:r>
          </w:p>
        </w:tc>
      </w:tr>
    </w:tbl>
    <w:p w:rsidR="007C5179" w:rsidP="00F26A69" w:rsidRDefault="007C5179" w14:paraId="61C105DF" w14:textId="77777777">
      <w:pPr>
        <w:spacing w:after="0" w:line="240" w:lineRule="auto"/>
        <w:rPr>
          <w:rFonts w:ascii="Arial" w:hAnsi="Arial" w:cs="Arial"/>
          <w:sz w:val="20"/>
          <w:szCs w:val="20"/>
        </w:rPr>
      </w:pPr>
    </w:p>
    <w:p w:rsidR="007C5179" w:rsidP="00F26A69" w:rsidRDefault="007C5179" w14:paraId="450B2CDB" w14:textId="77777777">
      <w:pPr>
        <w:spacing w:after="0" w:line="240" w:lineRule="auto"/>
        <w:rPr>
          <w:rFonts w:ascii="Arial" w:hAnsi="Arial" w:cs="Arial"/>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07A9271C" w14:textId="77777777">
        <w:trPr>
          <w:trHeight w:val="710"/>
        </w:trPr>
        <w:tc>
          <w:tcPr>
            <w:tcW w:w="9350" w:type="dxa"/>
            <w:gridSpan w:val="2"/>
            <w:shd w:val="clear" w:color="auto" w:fill="D9D9D9" w:themeFill="background1" w:themeFillShade="D9"/>
            <w:vAlign w:val="center"/>
          </w:tcPr>
          <w:p w:rsidRPr="00654EBE" w:rsidR="00F26A69" w:rsidRDefault="00F26A69" w14:paraId="58C4962A" w14:textId="77777777">
            <w:pPr>
              <w:jc w:val="center"/>
              <w:rPr>
                <w:rFonts w:ascii="Arial" w:hAnsi="Arial" w:cs="Arial"/>
                <w:b/>
                <w:bCs/>
                <w:sz w:val="20"/>
                <w:szCs w:val="20"/>
              </w:rPr>
            </w:pPr>
            <w:r>
              <w:rPr>
                <w:rFonts w:ascii="Arial" w:hAnsi="Arial" w:cs="Arial"/>
                <w:b/>
                <w:bCs/>
                <w:sz w:val="20"/>
                <w:szCs w:val="20"/>
              </w:rPr>
              <w:t>Table A-1.4</w:t>
            </w:r>
          </w:p>
          <w:p w:rsidRPr="00654EBE" w:rsidR="00F26A69" w:rsidRDefault="00F26A69" w14:paraId="08C1A37A" w14:textId="77777777">
            <w:pPr>
              <w:jc w:val="center"/>
              <w:rPr>
                <w:rFonts w:ascii="Arial" w:hAnsi="Arial" w:cs="Arial"/>
                <w:b/>
                <w:bCs/>
                <w:sz w:val="20"/>
                <w:szCs w:val="20"/>
                <w:highlight w:val="yellow"/>
              </w:rPr>
            </w:pPr>
            <w:r>
              <w:rPr>
                <w:rFonts w:ascii="Arial" w:hAnsi="Arial" w:cs="Arial"/>
                <w:b/>
                <w:bCs/>
                <w:sz w:val="20"/>
                <w:szCs w:val="20"/>
              </w:rPr>
              <w:t>Title Insurance Information and Post-Closing Insurance Policy Period</w:t>
            </w:r>
          </w:p>
        </w:tc>
      </w:tr>
      <w:tr w:rsidRPr="00654EBE" w:rsidR="00F26A69" w:rsidTr="00126CED" w14:paraId="17CDBA08" w14:textId="77777777">
        <w:tc>
          <w:tcPr>
            <w:tcW w:w="2875" w:type="dxa"/>
          </w:tcPr>
          <w:p w:rsidRPr="00654EBE" w:rsidR="00F26A69" w:rsidRDefault="00F26A69" w14:paraId="7F4E21F4" w14:textId="77777777">
            <w:pPr>
              <w:spacing w:before="60" w:after="60"/>
              <w:rPr>
                <w:rFonts w:ascii="Arial" w:hAnsi="Arial" w:cs="Arial"/>
                <w:b/>
                <w:bCs/>
                <w:sz w:val="20"/>
                <w:szCs w:val="20"/>
              </w:rPr>
            </w:pPr>
            <w:r>
              <w:rPr>
                <w:rFonts w:ascii="Arial" w:hAnsi="Arial" w:cs="Arial"/>
                <w:b/>
                <w:iCs/>
                <w:sz w:val="20"/>
                <w:szCs w:val="20"/>
              </w:rPr>
              <w:t>Title Company</w:t>
            </w:r>
          </w:p>
        </w:tc>
        <w:tc>
          <w:tcPr>
            <w:tcW w:w="6475" w:type="dxa"/>
          </w:tcPr>
          <w:p w:rsidRPr="00654EBE" w:rsidR="00F26A69" w:rsidRDefault="00F26A69" w14:paraId="73798419" w14:textId="77777777">
            <w:pPr>
              <w:spacing w:before="60" w:after="60"/>
              <w:rPr>
                <w:rFonts w:ascii="Arial" w:hAnsi="Arial" w:cs="Arial"/>
                <w:sz w:val="20"/>
                <w:szCs w:val="20"/>
                <w:highlight w:val="yellow"/>
              </w:rPr>
            </w:pPr>
            <w:r>
              <w:rPr>
                <w:rFonts w:ascii="Arial" w:hAnsi="Arial" w:cs="Arial"/>
                <w:sz w:val="20"/>
                <w:szCs w:val="20"/>
                <w:highlight w:val="yellow"/>
              </w:rPr>
              <w:t>#TitleCompanyName</w:t>
            </w:r>
            <w:r>
              <w:rPr>
                <w:rFonts w:ascii="Arial" w:hAnsi="Arial" w:cs="Arial"/>
                <w:sz w:val="20"/>
                <w:szCs w:val="20"/>
              </w:rPr>
              <w:t xml:space="preserve">, </w:t>
            </w:r>
            <w:r>
              <w:rPr>
                <w:rStyle w:val="normaltextrun"/>
                <w:rFonts w:ascii="Arial" w:hAnsi="Arial" w:cs="Arial"/>
                <w:sz w:val="20"/>
                <w:szCs w:val="20"/>
                <w:highlight w:val="yellow"/>
              </w:rPr>
              <w:t>#a</w:t>
            </w:r>
            <w:r>
              <w:rPr>
                <w:rStyle w:val="normaltextrun"/>
                <w:rFonts w:ascii="Arial" w:hAnsi="Arial" w:cs="Arial"/>
                <w:b/>
                <w:i/>
                <w:color w:val="FF0000"/>
                <w:sz w:val="20"/>
                <w:szCs w:val="20"/>
                <w:highlight w:val="cyan"/>
                <w:u w:val="single"/>
              </w:rPr>
              <w:t>OR</w:t>
            </w:r>
            <w:r>
              <w:rPr>
                <w:rStyle w:val="normaltextrun"/>
                <w:rFonts w:ascii="Arial" w:hAnsi="Arial" w:cs="Arial"/>
                <w:bCs/>
                <w:iCs/>
                <w:sz w:val="20"/>
                <w:szCs w:val="20"/>
                <w:highlight w:val="yellow"/>
              </w:rPr>
              <w:t>#</w:t>
            </w:r>
            <w:r>
              <w:rPr>
                <w:rStyle w:val="normaltextrun"/>
                <w:rFonts w:ascii="Arial" w:hAnsi="Arial" w:cs="Arial"/>
                <w:sz w:val="20"/>
                <w:szCs w:val="20"/>
                <w:highlight w:val="yellow"/>
              </w:rPr>
              <w:t>an</w:t>
            </w:r>
            <w:r>
              <w:rPr>
                <w:rStyle w:val="normaltextrun"/>
                <w:rFonts w:ascii="Arial" w:hAnsi="Arial" w:cs="Arial"/>
                <w:sz w:val="20"/>
                <w:szCs w:val="20"/>
              </w:rPr>
              <w:t xml:space="preserve"> </w:t>
            </w:r>
            <w:r>
              <w:rPr>
                <w:rStyle w:val="normaltextrun"/>
                <w:rFonts w:ascii="Arial" w:hAnsi="Arial" w:cs="Arial"/>
                <w:sz w:val="20"/>
                <w:szCs w:val="20"/>
                <w:highlight w:val="yellow"/>
              </w:rPr>
              <w:t>#OrgState#</w:t>
            </w:r>
            <w:r>
              <w:rPr>
                <w:rStyle w:val="normaltextrun"/>
                <w:rFonts w:ascii="Arial" w:hAnsi="Arial" w:cs="Arial"/>
                <w:sz w:val="20"/>
                <w:szCs w:val="20"/>
              </w:rPr>
              <w:t xml:space="preserve"> </w:t>
            </w:r>
            <w:r>
              <w:rPr>
                <w:rStyle w:val="normaltextrun"/>
                <w:rFonts w:ascii="Arial" w:hAnsi="Arial" w:cs="Arial"/>
                <w:sz w:val="20"/>
                <w:szCs w:val="20"/>
                <w:highlight w:val="yellow"/>
              </w:rPr>
              <w:t xml:space="preserve">#limited liability </w:t>
            </w:r>
            <w:proofErr w:type="spellStart"/>
            <w:r>
              <w:rPr>
                <w:rStyle w:val="normaltextrun"/>
                <w:rFonts w:ascii="Arial" w:hAnsi="Arial" w:cs="Arial"/>
                <w:sz w:val="20"/>
                <w:szCs w:val="20"/>
                <w:highlight w:val="yellow"/>
              </w:rPr>
              <w:t>company</w:t>
            </w:r>
            <w:r>
              <w:rPr>
                <w:rStyle w:val="normaltextrun"/>
                <w:rFonts w:ascii="Arial" w:hAnsi="Arial" w:cs="Arial"/>
                <w:b/>
                <w:i/>
                <w:color w:val="FF0000"/>
                <w:sz w:val="20"/>
                <w:szCs w:val="20"/>
                <w:highlight w:val="cyan"/>
                <w:u w:val="single"/>
              </w:rPr>
              <w:t>OR</w:t>
            </w:r>
            <w:r>
              <w:rPr>
                <w:rStyle w:val="normaltextrun"/>
                <w:rFonts w:ascii="Arial" w:hAnsi="Arial" w:cs="Arial"/>
                <w:sz w:val="20"/>
                <w:szCs w:val="20"/>
                <w:highlight w:val="yellow"/>
              </w:rPr>
              <w:t>#OtherOrgStructure</w:t>
            </w:r>
            <w:proofErr w:type="spellEnd"/>
          </w:p>
        </w:tc>
      </w:tr>
      <w:tr w:rsidRPr="00654EBE" w:rsidR="00F26A69" w:rsidTr="00126CED" w14:paraId="4988602A" w14:textId="77777777">
        <w:tc>
          <w:tcPr>
            <w:tcW w:w="2875" w:type="dxa"/>
          </w:tcPr>
          <w:p w:rsidRPr="00654EBE" w:rsidR="00F26A69" w:rsidRDefault="00F26A69" w14:paraId="4A667DA0" w14:textId="77777777">
            <w:pPr>
              <w:spacing w:before="60" w:after="60"/>
              <w:rPr>
                <w:rFonts w:ascii="Arial" w:hAnsi="Arial" w:cs="Arial"/>
                <w:b/>
                <w:iCs/>
                <w:sz w:val="20"/>
                <w:szCs w:val="20"/>
              </w:rPr>
            </w:pPr>
            <w:r>
              <w:rPr>
                <w:rFonts w:ascii="Arial" w:hAnsi="Arial" w:cs="Arial"/>
                <w:b/>
                <w:iCs/>
                <w:sz w:val="20"/>
                <w:szCs w:val="20"/>
              </w:rPr>
              <w:t>Existing Title Insurance Policy Information</w:t>
            </w:r>
          </w:p>
        </w:tc>
        <w:tc>
          <w:tcPr>
            <w:tcW w:w="6475" w:type="dxa"/>
          </w:tcPr>
          <w:p w:rsidRPr="00654EBE" w:rsidR="00F26A69" w:rsidRDefault="00F26A69" w14:paraId="58EE5038" w14:textId="7334B82C">
            <w:pPr>
              <w:spacing w:before="60" w:after="60"/>
              <w:rPr>
                <w:rFonts w:ascii="Arial" w:hAnsi="Arial" w:cs="Arial"/>
                <w:bCs/>
                <w:iCs/>
                <w:sz w:val="20"/>
                <w:szCs w:val="20"/>
              </w:rPr>
            </w:pPr>
            <w:r>
              <w:rPr>
                <w:rFonts w:ascii="Arial" w:hAnsi="Arial" w:cs="Arial"/>
                <w:sz w:val="20"/>
                <w:szCs w:val="20"/>
              </w:rPr>
              <w:t xml:space="preserve">ALTA Owner’s Policy of Title Insurance </w:t>
            </w:r>
            <w:proofErr w:type="gramStart"/>
            <w:r>
              <w:rPr>
                <w:rFonts w:ascii="Arial" w:hAnsi="Arial" w:cs="Arial"/>
                <w:sz w:val="20"/>
                <w:szCs w:val="20"/>
              </w:rPr>
              <w:t xml:space="preserve">No. </w:t>
            </w:r>
            <w:r>
              <w:rPr>
                <w:rFonts w:ascii="Arial" w:hAnsi="Arial" w:cs="Arial"/>
                <w:sz w:val="20"/>
                <w:szCs w:val="20"/>
                <w:highlight w:val="yellow"/>
              </w:rPr>
              <w:t>#</w:t>
            </w:r>
            <w:proofErr w:type="gramEnd"/>
            <w:r>
              <w:rPr>
                <w:rFonts w:ascii="Arial" w:hAnsi="Arial" w:cs="Arial"/>
                <w:sz w:val="20"/>
                <w:szCs w:val="20"/>
                <w:highlight w:val="yellow"/>
              </w:rPr>
              <w:t>Number</w:t>
            </w:r>
            <w:r>
              <w:rPr>
                <w:rFonts w:ascii="Arial" w:hAnsi="Arial" w:cs="Arial"/>
                <w:sz w:val="20"/>
                <w:szCs w:val="20"/>
              </w:rPr>
              <w:t xml:space="preserve">, dated </w:t>
            </w:r>
            <w:r>
              <w:rPr>
                <w:rFonts w:ascii="Arial" w:hAnsi="Arial" w:cs="Arial"/>
                <w:sz w:val="20"/>
                <w:szCs w:val="20"/>
                <w:highlight w:val="yellow"/>
              </w:rPr>
              <w:t>#Date</w:t>
            </w:r>
            <w:r>
              <w:rPr>
                <w:rFonts w:ascii="Arial" w:hAnsi="Arial" w:cs="Arial"/>
                <w:sz w:val="20"/>
                <w:szCs w:val="20"/>
              </w:rPr>
              <w:t>, issued by the Title Company</w:t>
            </w:r>
          </w:p>
        </w:tc>
      </w:tr>
      <w:tr w:rsidRPr="00654EBE" w:rsidR="00F26A69" w:rsidTr="00126CED" w14:paraId="7F33AB2E" w14:textId="77777777">
        <w:tc>
          <w:tcPr>
            <w:tcW w:w="2875" w:type="dxa"/>
          </w:tcPr>
          <w:p w:rsidRPr="00AB38D8" w:rsidR="00F26A69" w:rsidRDefault="00F26A69" w14:paraId="0FDE13B6" w14:textId="77777777">
            <w:pPr>
              <w:spacing w:before="60" w:after="60"/>
              <w:rPr>
                <w:rFonts w:ascii="Arial" w:hAnsi="Arial" w:cs="Arial"/>
                <w:b/>
                <w:iCs/>
                <w:sz w:val="20"/>
                <w:szCs w:val="20"/>
              </w:rPr>
            </w:pPr>
            <w:r>
              <w:rPr>
                <w:rFonts w:ascii="Arial" w:hAnsi="Arial" w:cs="Arial"/>
                <w:b/>
                <w:iCs/>
                <w:sz w:val="20"/>
                <w:szCs w:val="20"/>
              </w:rPr>
              <w:t>Post-Closing Insurance Policy Period (see APA Section 5.10 (</w:t>
            </w:r>
            <w:r>
              <w:rPr>
                <w:rFonts w:ascii="Arial" w:hAnsi="Arial" w:cs="Arial"/>
                <w:b/>
                <w:i/>
                <w:sz w:val="20"/>
                <w:szCs w:val="20"/>
              </w:rPr>
              <w:t>Insurance</w:t>
            </w:r>
            <w:r>
              <w:rPr>
                <w:rFonts w:ascii="Arial" w:hAnsi="Arial" w:cs="Arial"/>
                <w:b/>
                <w:iCs/>
                <w:sz w:val="20"/>
                <w:szCs w:val="20"/>
              </w:rPr>
              <w:t>))</w:t>
            </w:r>
          </w:p>
        </w:tc>
        <w:tc>
          <w:tcPr>
            <w:tcW w:w="6475" w:type="dxa"/>
          </w:tcPr>
          <w:p w:rsidRPr="00654EBE" w:rsidR="00F26A69" w:rsidRDefault="00F26A69" w14:paraId="55A6E889" w14:textId="77777777">
            <w:pPr>
              <w:spacing w:before="60" w:after="60"/>
              <w:rPr>
                <w:rFonts w:ascii="Arial" w:hAnsi="Arial" w:cs="Arial"/>
                <w:bCs/>
                <w:iCs/>
                <w:sz w:val="20"/>
                <w:szCs w:val="20"/>
                <w:highlight w:val="yellow"/>
              </w:rPr>
            </w:pPr>
            <w:r>
              <w:rPr>
                <w:rFonts w:ascii="Arial" w:hAnsi="Arial" w:cs="Arial"/>
                <w:bCs/>
                <w:iCs/>
                <w:sz w:val="20"/>
                <w:szCs w:val="20"/>
                <w:highlight w:val="yellow"/>
              </w:rPr>
              <w:t>#Number</w:t>
            </w:r>
            <w:r>
              <w:rPr>
                <w:rFonts w:ascii="Arial" w:hAnsi="Arial" w:cs="Arial"/>
                <w:bCs/>
                <w:iCs/>
                <w:sz w:val="20"/>
                <w:szCs w:val="20"/>
              </w:rPr>
              <w:t xml:space="preserve"> years following the Closing Date</w:t>
            </w:r>
          </w:p>
        </w:tc>
      </w:tr>
      <w:tr w:rsidRPr="00654EBE" w:rsidR="00F26A69" w:rsidTr="00126CED" w14:paraId="0F8ADFDB" w14:textId="77777777">
        <w:tc>
          <w:tcPr>
            <w:tcW w:w="2875" w:type="dxa"/>
          </w:tcPr>
          <w:p w:rsidRPr="00654EBE" w:rsidR="00F26A69" w:rsidRDefault="00F26A69" w14:paraId="7C3AF4A0" w14:textId="77777777">
            <w:pPr>
              <w:spacing w:before="60" w:after="60"/>
              <w:rPr>
                <w:rFonts w:ascii="Arial" w:hAnsi="Arial" w:cs="Arial"/>
                <w:b/>
                <w:iCs/>
                <w:sz w:val="20"/>
                <w:szCs w:val="20"/>
              </w:rPr>
            </w:pPr>
            <w:r>
              <w:rPr>
                <w:rFonts w:ascii="Arial" w:hAnsi="Arial" w:cs="Arial"/>
                <w:b/>
                <w:iCs/>
                <w:sz w:val="20"/>
                <w:szCs w:val="20"/>
              </w:rPr>
              <w:t>Material Casualty Loss Threshold Amount</w:t>
            </w:r>
          </w:p>
        </w:tc>
        <w:tc>
          <w:tcPr>
            <w:tcW w:w="6475" w:type="dxa"/>
          </w:tcPr>
          <w:p w:rsidRPr="00654EBE" w:rsidR="00F26A69" w:rsidRDefault="00F26A69" w14:paraId="7CC79422" w14:textId="77777777">
            <w:pPr>
              <w:spacing w:before="60" w:after="60"/>
              <w:rPr>
                <w:rFonts w:ascii="Arial" w:hAnsi="Arial" w:cs="Arial"/>
                <w:bCs/>
                <w:iCs/>
                <w:sz w:val="20"/>
                <w:szCs w:val="20"/>
                <w:highlight w:val="yellow"/>
              </w:rPr>
            </w:pPr>
            <w:proofErr w:type="gramStart"/>
            <w:r>
              <w:rPr>
                <w:rFonts w:ascii="Arial" w:hAnsi="Arial" w:cs="Arial"/>
                <w:bCs/>
                <w:iCs/>
                <w:sz w:val="20"/>
                <w:szCs w:val="20"/>
                <w:highlight w:val="yellow"/>
              </w:rPr>
              <w:t>#Number</w:t>
            </w:r>
            <w:r>
              <w:rPr>
                <w:rFonts w:ascii="Arial" w:hAnsi="Arial" w:cs="Arial"/>
                <w:bCs/>
                <w:iCs/>
                <w:sz w:val="20"/>
                <w:szCs w:val="20"/>
              </w:rPr>
              <w:t>%</w:t>
            </w:r>
            <w:proofErr w:type="gramEnd"/>
            <w:r>
              <w:rPr>
                <w:rFonts w:ascii="Arial" w:hAnsi="Arial" w:cs="Arial"/>
                <w:bCs/>
                <w:iCs/>
                <w:sz w:val="20"/>
                <w:szCs w:val="20"/>
              </w:rPr>
              <w:t xml:space="preserve"> (of Base Purchase Price)</w:t>
            </w:r>
          </w:p>
        </w:tc>
      </w:tr>
    </w:tbl>
    <w:p w:rsidRPr="00654EBE" w:rsidR="00F26A69" w:rsidP="00F26A69" w:rsidRDefault="00F26A69" w14:paraId="5DBA7FA4" w14:textId="77777777">
      <w:pPr>
        <w:spacing w:after="0" w:line="240" w:lineRule="auto"/>
        <w:rPr>
          <w:rFonts w:ascii="Arial" w:hAnsi="Arial" w:cs="Arial"/>
          <w:sz w:val="20"/>
          <w:szCs w:val="20"/>
        </w:rPr>
      </w:pPr>
    </w:p>
    <w:p w:rsidRPr="00654EBE" w:rsidR="00F26A69" w:rsidP="00F26A69" w:rsidRDefault="00F26A69" w14:paraId="56BFA16D" w14:textId="77777777">
      <w:pPr>
        <w:spacing w:after="0" w:line="240" w:lineRule="auto"/>
        <w:rPr>
          <w:rFonts w:ascii="Arial" w:hAnsi="Arial" w:cs="Arial"/>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299AC3B8" w14:textId="77777777">
        <w:trPr>
          <w:trHeight w:val="710"/>
        </w:trPr>
        <w:tc>
          <w:tcPr>
            <w:tcW w:w="9350" w:type="dxa"/>
            <w:gridSpan w:val="2"/>
            <w:shd w:val="clear" w:color="auto" w:fill="D9D9D9" w:themeFill="background1" w:themeFillShade="D9"/>
            <w:vAlign w:val="center"/>
          </w:tcPr>
          <w:p w:rsidRPr="00654EBE" w:rsidR="00F26A69" w:rsidRDefault="00F26A69" w14:paraId="10A0AD30" w14:textId="77777777">
            <w:pPr>
              <w:jc w:val="center"/>
              <w:rPr>
                <w:rFonts w:ascii="Arial" w:hAnsi="Arial" w:cs="Arial"/>
                <w:b/>
                <w:bCs/>
                <w:sz w:val="20"/>
                <w:szCs w:val="20"/>
              </w:rPr>
            </w:pPr>
            <w:r>
              <w:rPr>
                <w:rFonts w:ascii="Arial" w:hAnsi="Arial" w:cs="Arial"/>
                <w:b/>
                <w:bCs/>
                <w:sz w:val="20"/>
                <w:szCs w:val="20"/>
              </w:rPr>
              <w:lastRenderedPageBreak/>
              <w:t>Table A-1.5</w:t>
            </w:r>
          </w:p>
          <w:p w:rsidRPr="00654EBE" w:rsidR="00F26A69" w:rsidRDefault="00F26A69" w14:paraId="7F20D510" w14:textId="77777777">
            <w:pPr>
              <w:jc w:val="center"/>
              <w:rPr>
                <w:rFonts w:ascii="Arial" w:hAnsi="Arial" w:cs="Arial"/>
                <w:b/>
                <w:bCs/>
                <w:sz w:val="20"/>
                <w:szCs w:val="20"/>
                <w:highlight w:val="yellow"/>
              </w:rPr>
            </w:pPr>
            <w:r>
              <w:rPr>
                <w:rFonts w:ascii="Arial" w:hAnsi="Arial" w:cs="Arial"/>
                <w:b/>
                <w:bCs/>
                <w:sz w:val="20"/>
                <w:szCs w:val="20"/>
              </w:rPr>
              <w:t>Facility Contracts Threshold Amounts</w:t>
            </w:r>
          </w:p>
        </w:tc>
      </w:tr>
      <w:tr w:rsidRPr="00654EBE" w:rsidR="00F26A69" w:rsidTr="00126CED" w14:paraId="2722DFA6" w14:textId="77777777">
        <w:tc>
          <w:tcPr>
            <w:tcW w:w="2875" w:type="dxa"/>
          </w:tcPr>
          <w:p w:rsidRPr="00AB38D8" w:rsidR="00F26A69" w:rsidRDefault="00F26A69" w14:paraId="31533BE4" w14:textId="77777777">
            <w:pPr>
              <w:spacing w:before="60" w:after="60"/>
              <w:rPr>
                <w:rFonts w:ascii="Arial" w:hAnsi="Arial" w:cs="Arial"/>
                <w:b/>
                <w:bCs/>
                <w:sz w:val="20"/>
                <w:szCs w:val="20"/>
              </w:rPr>
            </w:pPr>
            <w:r>
              <w:rPr>
                <w:rFonts w:ascii="Arial" w:hAnsi="Arial" w:cs="Arial"/>
                <w:b/>
                <w:iCs/>
                <w:sz w:val="20"/>
                <w:szCs w:val="20"/>
              </w:rPr>
              <w:t>Facility Contracts Extended Credit Threshold Amount (See APA Section 3.11.1(vi) (</w:t>
            </w:r>
            <w:r>
              <w:rPr>
                <w:rFonts w:ascii="Arial" w:hAnsi="Arial" w:cs="Arial"/>
                <w:b/>
                <w:i/>
                <w:sz w:val="20"/>
                <w:szCs w:val="20"/>
              </w:rPr>
              <w:t>List of Facility Contracts</w:t>
            </w:r>
            <w:r>
              <w:rPr>
                <w:rFonts w:ascii="Arial" w:hAnsi="Arial" w:cs="Arial"/>
                <w:b/>
                <w:iCs/>
                <w:sz w:val="20"/>
                <w:szCs w:val="20"/>
              </w:rPr>
              <w:t>))</w:t>
            </w:r>
          </w:p>
        </w:tc>
        <w:tc>
          <w:tcPr>
            <w:tcW w:w="6475" w:type="dxa"/>
          </w:tcPr>
          <w:p w:rsidRPr="00654EBE" w:rsidR="00F26A69" w:rsidRDefault="00F26A69" w14:paraId="612D6FB2" w14:textId="77777777">
            <w:pPr>
              <w:spacing w:before="60" w:after="60"/>
              <w:rPr>
                <w:rFonts w:ascii="Arial" w:hAnsi="Arial" w:cs="Arial"/>
                <w:sz w:val="20"/>
                <w:szCs w:val="20"/>
                <w:highlight w:val="yellow"/>
              </w:rPr>
            </w:pPr>
            <w:r>
              <w:rPr>
                <w:rFonts w:ascii="Arial" w:hAnsi="Arial" w:cs="Arial"/>
                <w:bCs/>
                <w:iCs/>
                <w:sz w:val="20"/>
                <w:szCs w:val="20"/>
              </w:rPr>
              <w:t>$</w:t>
            </w:r>
            <w:r>
              <w:rPr>
                <w:rFonts w:ascii="Arial" w:hAnsi="Arial" w:cs="Arial"/>
                <w:bCs/>
                <w:iCs/>
                <w:sz w:val="20"/>
                <w:szCs w:val="20"/>
                <w:highlight w:val="yellow"/>
              </w:rPr>
              <w:t>#Amount</w:t>
            </w:r>
          </w:p>
        </w:tc>
      </w:tr>
      <w:tr w:rsidRPr="00654EBE" w:rsidR="00F26A69" w:rsidTr="00126CED" w14:paraId="338CF3D3" w14:textId="77777777">
        <w:tc>
          <w:tcPr>
            <w:tcW w:w="2875" w:type="dxa"/>
          </w:tcPr>
          <w:p w:rsidRPr="00AB38D8" w:rsidR="00F26A69" w:rsidRDefault="00F26A69" w14:paraId="7FEAB0ED" w14:textId="77777777">
            <w:pPr>
              <w:spacing w:before="60" w:after="60"/>
              <w:rPr>
                <w:rFonts w:ascii="Arial" w:hAnsi="Arial" w:cs="Arial"/>
                <w:b/>
                <w:iCs/>
                <w:sz w:val="20"/>
                <w:szCs w:val="20"/>
              </w:rPr>
            </w:pPr>
            <w:r>
              <w:rPr>
                <w:rFonts w:ascii="Arial" w:hAnsi="Arial" w:cs="Arial"/>
                <w:b/>
                <w:iCs/>
                <w:sz w:val="20"/>
                <w:szCs w:val="20"/>
              </w:rPr>
              <w:t>Facility Contracts Payments Threshold Amount (Payments by or to Seller) (See APA Section 3.11.1(vii) (</w:t>
            </w:r>
            <w:r>
              <w:rPr>
                <w:rFonts w:ascii="Arial" w:hAnsi="Arial" w:cs="Arial"/>
                <w:b/>
                <w:i/>
                <w:sz w:val="20"/>
                <w:szCs w:val="20"/>
              </w:rPr>
              <w:t>List of Facility Contracts</w:t>
            </w:r>
            <w:r>
              <w:rPr>
                <w:rFonts w:ascii="Arial" w:hAnsi="Arial" w:cs="Arial"/>
                <w:b/>
                <w:iCs/>
                <w:sz w:val="20"/>
                <w:szCs w:val="20"/>
              </w:rPr>
              <w:t>))</w:t>
            </w:r>
          </w:p>
        </w:tc>
        <w:tc>
          <w:tcPr>
            <w:tcW w:w="6475" w:type="dxa"/>
          </w:tcPr>
          <w:p w:rsidRPr="00654EBE" w:rsidR="00F26A69" w:rsidRDefault="00F26A69" w14:paraId="69927B31" w14:textId="77777777">
            <w:pPr>
              <w:spacing w:before="60" w:after="60"/>
              <w:rPr>
                <w:rFonts w:ascii="Arial" w:hAnsi="Arial" w:cs="Arial"/>
                <w:bCs/>
                <w:iCs/>
                <w:sz w:val="20"/>
                <w:szCs w:val="20"/>
              </w:rPr>
            </w:pPr>
            <w:r>
              <w:rPr>
                <w:rFonts w:ascii="Arial" w:hAnsi="Arial" w:cs="Arial"/>
                <w:bCs/>
                <w:iCs/>
                <w:sz w:val="20"/>
                <w:szCs w:val="20"/>
              </w:rPr>
              <w:t>$</w:t>
            </w:r>
            <w:r>
              <w:rPr>
                <w:rFonts w:ascii="Arial" w:hAnsi="Arial" w:cs="Arial"/>
                <w:bCs/>
                <w:iCs/>
                <w:sz w:val="20"/>
                <w:szCs w:val="20"/>
                <w:highlight w:val="yellow"/>
              </w:rPr>
              <w:t>#Amount</w:t>
            </w:r>
          </w:p>
        </w:tc>
      </w:tr>
      <w:tr w:rsidRPr="00654EBE" w:rsidR="00F26A69" w:rsidTr="00126CED" w14:paraId="0AE9F2B7" w14:textId="77777777">
        <w:tc>
          <w:tcPr>
            <w:tcW w:w="2875" w:type="dxa"/>
          </w:tcPr>
          <w:p w:rsidRPr="00AB38D8" w:rsidR="00F26A69" w:rsidRDefault="00F26A69" w14:paraId="4172A425" w14:textId="77777777">
            <w:pPr>
              <w:spacing w:before="60" w:after="60"/>
              <w:rPr>
                <w:rFonts w:ascii="Arial" w:hAnsi="Arial" w:cs="Arial"/>
                <w:b/>
                <w:iCs/>
                <w:sz w:val="20"/>
                <w:szCs w:val="20"/>
              </w:rPr>
            </w:pPr>
            <w:r>
              <w:rPr>
                <w:rFonts w:ascii="Arial" w:hAnsi="Arial" w:cs="Arial"/>
                <w:b/>
                <w:iCs/>
                <w:sz w:val="20"/>
                <w:szCs w:val="20"/>
              </w:rPr>
              <w:t>Facility Contracts Threshold Amount for Items that Constitute Capital Expenditures (See APA Section 3.11.1(viii)(a) (</w:t>
            </w:r>
            <w:r>
              <w:rPr>
                <w:rFonts w:ascii="Arial" w:hAnsi="Arial" w:cs="Arial"/>
                <w:b/>
                <w:i/>
                <w:sz w:val="20"/>
                <w:szCs w:val="20"/>
              </w:rPr>
              <w:t>List of Facility Contracts</w:t>
            </w:r>
            <w:r>
              <w:rPr>
                <w:rFonts w:ascii="Arial" w:hAnsi="Arial" w:cs="Arial"/>
                <w:b/>
                <w:iCs/>
                <w:sz w:val="20"/>
                <w:szCs w:val="20"/>
              </w:rPr>
              <w:t>))</w:t>
            </w:r>
          </w:p>
        </w:tc>
        <w:tc>
          <w:tcPr>
            <w:tcW w:w="6475" w:type="dxa"/>
          </w:tcPr>
          <w:p w:rsidRPr="00654EBE" w:rsidR="00F26A69" w:rsidRDefault="00F26A69" w14:paraId="660FE5A6" w14:textId="77777777">
            <w:pPr>
              <w:spacing w:before="60" w:after="60"/>
              <w:rPr>
                <w:rFonts w:ascii="Arial" w:hAnsi="Arial" w:cs="Arial"/>
                <w:bCs/>
                <w:iCs/>
                <w:sz w:val="20"/>
                <w:szCs w:val="20"/>
                <w:highlight w:val="yellow"/>
              </w:rPr>
            </w:pPr>
            <w:r>
              <w:rPr>
                <w:rFonts w:ascii="Arial" w:hAnsi="Arial" w:cs="Arial"/>
                <w:bCs/>
                <w:iCs/>
                <w:sz w:val="20"/>
                <w:szCs w:val="20"/>
              </w:rPr>
              <w:t>$</w:t>
            </w:r>
            <w:r>
              <w:rPr>
                <w:rFonts w:ascii="Arial" w:hAnsi="Arial" w:cs="Arial"/>
                <w:bCs/>
                <w:iCs/>
                <w:sz w:val="20"/>
                <w:szCs w:val="20"/>
                <w:highlight w:val="yellow"/>
              </w:rPr>
              <w:t>#Amount</w:t>
            </w:r>
          </w:p>
        </w:tc>
      </w:tr>
      <w:tr w:rsidRPr="00654EBE" w:rsidR="00F26A69" w:rsidTr="00126CED" w14:paraId="250E5FCE" w14:textId="77777777">
        <w:tc>
          <w:tcPr>
            <w:tcW w:w="2875" w:type="dxa"/>
          </w:tcPr>
          <w:p w:rsidRPr="00AB38D8" w:rsidR="00F26A69" w:rsidRDefault="00F26A69" w14:paraId="4C110F0D" w14:textId="77777777">
            <w:pPr>
              <w:spacing w:before="60" w:after="60"/>
              <w:rPr>
                <w:rFonts w:ascii="Arial" w:hAnsi="Arial" w:cs="Arial"/>
                <w:b/>
                <w:iCs/>
                <w:sz w:val="20"/>
                <w:szCs w:val="20"/>
              </w:rPr>
            </w:pPr>
            <w:r>
              <w:rPr>
                <w:rFonts w:ascii="Arial" w:hAnsi="Arial" w:cs="Arial"/>
                <w:b/>
                <w:iCs/>
                <w:sz w:val="20"/>
                <w:szCs w:val="20"/>
              </w:rPr>
              <w:t>Facility Contracts Threshold Amount for Items Involving or Reasonably Expected to Involve Capital Expenditures (See APA Section 3.11.1(viii)(b) (</w:t>
            </w:r>
            <w:r>
              <w:rPr>
                <w:rFonts w:ascii="Arial" w:hAnsi="Arial" w:cs="Arial"/>
                <w:b/>
                <w:i/>
                <w:sz w:val="20"/>
                <w:szCs w:val="20"/>
              </w:rPr>
              <w:t>List of Facility Contracts</w:t>
            </w:r>
            <w:r>
              <w:rPr>
                <w:rFonts w:ascii="Arial" w:hAnsi="Arial" w:cs="Arial"/>
                <w:b/>
                <w:iCs/>
                <w:sz w:val="20"/>
                <w:szCs w:val="20"/>
              </w:rPr>
              <w:t>))</w:t>
            </w:r>
          </w:p>
        </w:tc>
        <w:tc>
          <w:tcPr>
            <w:tcW w:w="6475" w:type="dxa"/>
          </w:tcPr>
          <w:p w:rsidRPr="00654EBE" w:rsidR="00F26A69" w:rsidRDefault="00F26A69" w14:paraId="457B44E2" w14:textId="77777777">
            <w:pPr>
              <w:spacing w:before="60" w:after="60"/>
              <w:rPr>
                <w:rFonts w:ascii="Arial" w:hAnsi="Arial" w:cs="Arial"/>
                <w:bCs/>
                <w:iCs/>
                <w:sz w:val="20"/>
                <w:szCs w:val="20"/>
                <w:highlight w:val="yellow"/>
              </w:rPr>
            </w:pPr>
            <w:r>
              <w:rPr>
                <w:rFonts w:ascii="Arial" w:hAnsi="Arial" w:cs="Arial"/>
                <w:bCs/>
                <w:iCs/>
                <w:sz w:val="20"/>
                <w:szCs w:val="20"/>
              </w:rPr>
              <w:t>$</w:t>
            </w:r>
            <w:r>
              <w:rPr>
                <w:rFonts w:ascii="Arial" w:hAnsi="Arial" w:cs="Arial"/>
                <w:bCs/>
                <w:iCs/>
                <w:sz w:val="20"/>
                <w:szCs w:val="20"/>
                <w:highlight w:val="yellow"/>
              </w:rPr>
              <w:t>#Amount</w:t>
            </w:r>
          </w:p>
        </w:tc>
      </w:tr>
      <w:tr w:rsidRPr="00654EBE" w:rsidR="00F26A69" w:rsidTr="00126CED" w14:paraId="0121DE77" w14:textId="77777777">
        <w:tc>
          <w:tcPr>
            <w:tcW w:w="2875" w:type="dxa"/>
          </w:tcPr>
          <w:p w:rsidRPr="00AB38D8" w:rsidR="00F26A69" w:rsidRDefault="00F26A69" w14:paraId="337E232D" w14:textId="77777777">
            <w:pPr>
              <w:spacing w:before="60" w:after="60"/>
              <w:rPr>
                <w:rFonts w:ascii="Arial" w:hAnsi="Arial" w:cs="Arial"/>
                <w:b/>
                <w:iCs/>
                <w:sz w:val="20"/>
                <w:szCs w:val="20"/>
              </w:rPr>
            </w:pPr>
            <w:r>
              <w:rPr>
                <w:rFonts w:ascii="Arial" w:hAnsi="Arial" w:cs="Arial"/>
                <w:b/>
                <w:iCs/>
                <w:sz w:val="20"/>
                <w:szCs w:val="20"/>
              </w:rPr>
              <w:t>Property or Asset Purchase, Lease, or Acquisition Individual Threshold Amount (see APA Section 5.3.1(iv) (</w:t>
            </w:r>
            <w:r>
              <w:rPr>
                <w:rFonts w:ascii="Arial" w:hAnsi="Arial" w:cs="Arial"/>
                <w:b/>
                <w:i/>
                <w:sz w:val="20"/>
                <w:szCs w:val="20"/>
              </w:rPr>
              <w:t>Interim Period</w:t>
            </w:r>
            <w:r>
              <w:rPr>
                <w:rFonts w:ascii="Arial" w:hAnsi="Arial" w:cs="Arial"/>
                <w:b/>
                <w:iCs/>
                <w:sz w:val="20"/>
                <w:szCs w:val="20"/>
              </w:rPr>
              <w:t>))</w:t>
            </w:r>
          </w:p>
        </w:tc>
        <w:tc>
          <w:tcPr>
            <w:tcW w:w="6475" w:type="dxa"/>
          </w:tcPr>
          <w:p w:rsidRPr="00654EBE" w:rsidR="00F26A69" w:rsidRDefault="00F26A69" w14:paraId="091837D0" w14:textId="77777777">
            <w:pPr>
              <w:spacing w:before="60" w:after="60"/>
              <w:rPr>
                <w:rFonts w:ascii="Arial" w:hAnsi="Arial" w:cs="Arial"/>
                <w:bCs/>
                <w:iCs/>
                <w:sz w:val="20"/>
                <w:szCs w:val="20"/>
              </w:rPr>
            </w:pPr>
            <w:r>
              <w:rPr>
                <w:rFonts w:ascii="Arial" w:hAnsi="Arial" w:cs="Arial"/>
                <w:bCs/>
                <w:iCs/>
                <w:sz w:val="20"/>
                <w:szCs w:val="20"/>
              </w:rPr>
              <w:t>$</w:t>
            </w:r>
            <w:r>
              <w:rPr>
                <w:rFonts w:ascii="Arial" w:hAnsi="Arial" w:cs="Arial"/>
                <w:bCs/>
                <w:iCs/>
                <w:sz w:val="20"/>
                <w:szCs w:val="20"/>
                <w:highlight w:val="yellow"/>
              </w:rPr>
              <w:t>#Amount</w:t>
            </w:r>
          </w:p>
        </w:tc>
      </w:tr>
    </w:tbl>
    <w:p w:rsidR="00F26A69" w:rsidP="00F26A69" w:rsidRDefault="00F26A69" w14:paraId="51681D76" w14:textId="77777777">
      <w:pPr>
        <w:pStyle w:val="zGTitle12"/>
        <w:spacing w:after="0"/>
        <w:jc w:val="left"/>
        <w:rPr>
          <w:rFonts w:eastAsia="Calibri"/>
        </w:rPr>
      </w:pPr>
    </w:p>
    <w:p w:rsidRPr="007C1ABF" w:rsidR="00F26A69" w:rsidP="00F26A69" w:rsidRDefault="00F26A69" w14:paraId="223F0F9C" w14:textId="77777777">
      <w:pPr>
        <w:pStyle w:val="zGTitle12"/>
        <w:spacing w:after="0"/>
        <w:jc w:val="left"/>
        <w:rPr>
          <w:rFonts w:eastAsia="Calibri"/>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7F143674" w14:textId="77777777">
        <w:trPr>
          <w:trHeight w:val="710"/>
        </w:trPr>
        <w:tc>
          <w:tcPr>
            <w:tcW w:w="9350" w:type="dxa"/>
            <w:gridSpan w:val="2"/>
            <w:shd w:val="clear" w:color="auto" w:fill="D9D9D9" w:themeFill="background1" w:themeFillShade="D9"/>
            <w:vAlign w:val="center"/>
          </w:tcPr>
          <w:p w:rsidRPr="00654EBE" w:rsidR="00F26A69" w:rsidRDefault="00F26A69" w14:paraId="6846A20B" w14:textId="77777777">
            <w:pPr>
              <w:jc w:val="center"/>
              <w:rPr>
                <w:rFonts w:ascii="Arial" w:hAnsi="Arial" w:cs="Arial"/>
                <w:b/>
                <w:bCs/>
                <w:sz w:val="20"/>
                <w:szCs w:val="20"/>
              </w:rPr>
            </w:pPr>
            <w:r>
              <w:rPr>
                <w:rFonts w:ascii="Arial" w:hAnsi="Arial" w:cs="Arial"/>
                <w:b/>
                <w:bCs/>
                <w:sz w:val="20"/>
                <w:szCs w:val="20"/>
              </w:rPr>
              <w:t>Table A-1.6</w:t>
            </w:r>
          </w:p>
          <w:p w:rsidRPr="00654EBE" w:rsidR="00F26A69" w:rsidRDefault="00F26A69" w14:paraId="78C3800C" w14:textId="77777777">
            <w:pPr>
              <w:jc w:val="center"/>
              <w:rPr>
                <w:rFonts w:ascii="Arial" w:hAnsi="Arial" w:cs="Arial"/>
                <w:b/>
                <w:bCs/>
                <w:sz w:val="20"/>
                <w:szCs w:val="20"/>
                <w:highlight w:val="yellow"/>
              </w:rPr>
            </w:pPr>
            <w:r>
              <w:rPr>
                <w:rFonts w:ascii="Arial" w:hAnsi="Arial" w:cs="Arial"/>
                <w:b/>
                <w:bCs/>
                <w:sz w:val="20"/>
                <w:szCs w:val="20"/>
              </w:rPr>
              <w:t>Title Insurance Information and Post-Closing Insurance Policy Period</w:t>
            </w:r>
          </w:p>
        </w:tc>
      </w:tr>
      <w:tr w:rsidRPr="00654EBE" w:rsidR="00F26A69" w:rsidTr="00126CED" w14:paraId="3B25AE78" w14:textId="77777777">
        <w:tc>
          <w:tcPr>
            <w:tcW w:w="2875" w:type="dxa"/>
          </w:tcPr>
          <w:p w:rsidRPr="00654EBE" w:rsidR="00F26A69" w:rsidRDefault="00F26A69" w14:paraId="457A0823" w14:textId="77777777">
            <w:pPr>
              <w:spacing w:before="60" w:after="60"/>
              <w:rPr>
                <w:rFonts w:ascii="Arial" w:hAnsi="Arial" w:cs="Arial"/>
                <w:b/>
                <w:bCs/>
                <w:sz w:val="20"/>
                <w:szCs w:val="20"/>
              </w:rPr>
            </w:pPr>
            <w:r>
              <w:rPr>
                <w:rFonts w:ascii="Arial" w:hAnsi="Arial" w:cs="Arial"/>
                <w:b/>
                <w:iCs/>
                <w:sz w:val="20"/>
                <w:szCs w:val="20"/>
              </w:rPr>
              <w:t>Title Company</w:t>
            </w:r>
          </w:p>
        </w:tc>
        <w:tc>
          <w:tcPr>
            <w:tcW w:w="6475" w:type="dxa"/>
          </w:tcPr>
          <w:p w:rsidRPr="00654EBE" w:rsidR="00F26A69" w:rsidRDefault="00F26A69" w14:paraId="7596F443" w14:textId="77777777">
            <w:pPr>
              <w:spacing w:before="60" w:after="60"/>
              <w:rPr>
                <w:rFonts w:ascii="Arial" w:hAnsi="Arial" w:cs="Arial"/>
                <w:sz w:val="20"/>
                <w:szCs w:val="20"/>
                <w:highlight w:val="yellow"/>
              </w:rPr>
            </w:pPr>
            <w:r>
              <w:rPr>
                <w:rFonts w:ascii="Arial" w:hAnsi="Arial" w:cs="Arial"/>
                <w:sz w:val="20"/>
                <w:szCs w:val="20"/>
                <w:highlight w:val="yellow"/>
              </w:rPr>
              <w:t>#TitleCompanyName</w:t>
            </w:r>
            <w:r>
              <w:rPr>
                <w:rFonts w:ascii="Arial" w:hAnsi="Arial" w:cs="Arial"/>
                <w:sz w:val="20"/>
                <w:szCs w:val="20"/>
              </w:rPr>
              <w:t xml:space="preserve">, </w:t>
            </w:r>
            <w:r>
              <w:rPr>
                <w:rStyle w:val="normaltextrun"/>
                <w:rFonts w:ascii="Arial" w:hAnsi="Arial" w:cs="Arial"/>
                <w:sz w:val="20"/>
                <w:szCs w:val="20"/>
                <w:highlight w:val="yellow"/>
              </w:rPr>
              <w:t>#a</w:t>
            </w:r>
            <w:r>
              <w:rPr>
                <w:rStyle w:val="normaltextrun"/>
                <w:rFonts w:ascii="Arial" w:hAnsi="Arial" w:cs="Arial"/>
                <w:b/>
                <w:i/>
                <w:color w:val="FF0000"/>
                <w:sz w:val="20"/>
                <w:szCs w:val="20"/>
                <w:highlight w:val="cyan"/>
                <w:u w:val="single"/>
              </w:rPr>
              <w:t>OR</w:t>
            </w:r>
            <w:r>
              <w:rPr>
                <w:rStyle w:val="normaltextrun"/>
                <w:rFonts w:ascii="Arial" w:hAnsi="Arial" w:cs="Arial"/>
                <w:bCs/>
                <w:iCs/>
                <w:sz w:val="20"/>
                <w:szCs w:val="20"/>
                <w:highlight w:val="yellow"/>
              </w:rPr>
              <w:t>#</w:t>
            </w:r>
            <w:r>
              <w:rPr>
                <w:rStyle w:val="normaltextrun"/>
                <w:rFonts w:ascii="Arial" w:hAnsi="Arial" w:cs="Arial"/>
                <w:sz w:val="20"/>
                <w:szCs w:val="20"/>
                <w:highlight w:val="yellow"/>
              </w:rPr>
              <w:t>an</w:t>
            </w:r>
            <w:r>
              <w:rPr>
                <w:rStyle w:val="normaltextrun"/>
                <w:rFonts w:ascii="Arial" w:hAnsi="Arial" w:cs="Arial"/>
                <w:sz w:val="20"/>
                <w:szCs w:val="20"/>
              </w:rPr>
              <w:t xml:space="preserve"> </w:t>
            </w:r>
            <w:r>
              <w:rPr>
                <w:rStyle w:val="normaltextrun"/>
                <w:rFonts w:ascii="Arial" w:hAnsi="Arial" w:cs="Arial"/>
                <w:sz w:val="20"/>
                <w:szCs w:val="20"/>
                <w:highlight w:val="yellow"/>
              </w:rPr>
              <w:t>#OrgState#</w:t>
            </w:r>
            <w:r>
              <w:rPr>
                <w:rStyle w:val="normaltextrun"/>
                <w:rFonts w:ascii="Arial" w:hAnsi="Arial" w:cs="Arial"/>
                <w:sz w:val="20"/>
                <w:szCs w:val="20"/>
              </w:rPr>
              <w:t xml:space="preserve"> </w:t>
            </w:r>
            <w:r>
              <w:rPr>
                <w:rStyle w:val="normaltextrun"/>
                <w:rFonts w:ascii="Arial" w:hAnsi="Arial" w:cs="Arial"/>
                <w:sz w:val="20"/>
                <w:szCs w:val="20"/>
                <w:highlight w:val="yellow"/>
              </w:rPr>
              <w:t xml:space="preserve">#limited liability </w:t>
            </w:r>
            <w:proofErr w:type="spellStart"/>
            <w:r>
              <w:rPr>
                <w:rStyle w:val="normaltextrun"/>
                <w:rFonts w:ascii="Arial" w:hAnsi="Arial" w:cs="Arial"/>
                <w:sz w:val="20"/>
                <w:szCs w:val="20"/>
                <w:highlight w:val="yellow"/>
              </w:rPr>
              <w:t>company</w:t>
            </w:r>
            <w:r>
              <w:rPr>
                <w:rStyle w:val="normaltextrun"/>
                <w:rFonts w:ascii="Arial" w:hAnsi="Arial" w:cs="Arial"/>
                <w:b/>
                <w:i/>
                <w:color w:val="FF0000"/>
                <w:sz w:val="20"/>
                <w:szCs w:val="20"/>
                <w:highlight w:val="cyan"/>
                <w:u w:val="single"/>
              </w:rPr>
              <w:t>OR</w:t>
            </w:r>
            <w:r>
              <w:rPr>
                <w:rStyle w:val="normaltextrun"/>
                <w:rFonts w:ascii="Arial" w:hAnsi="Arial" w:cs="Arial"/>
                <w:sz w:val="20"/>
                <w:szCs w:val="20"/>
                <w:highlight w:val="yellow"/>
              </w:rPr>
              <w:t>#OtherOrgStructure</w:t>
            </w:r>
            <w:proofErr w:type="spellEnd"/>
          </w:p>
        </w:tc>
      </w:tr>
      <w:tr w:rsidRPr="00654EBE" w:rsidR="00F26A69" w:rsidTr="00126CED" w14:paraId="2817BFE5" w14:textId="77777777">
        <w:tc>
          <w:tcPr>
            <w:tcW w:w="2875" w:type="dxa"/>
          </w:tcPr>
          <w:p w:rsidRPr="00654EBE" w:rsidR="00F26A69" w:rsidRDefault="00F26A69" w14:paraId="2FA2FC73" w14:textId="77777777">
            <w:pPr>
              <w:spacing w:before="60" w:after="60"/>
              <w:rPr>
                <w:rFonts w:ascii="Arial" w:hAnsi="Arial" w:cs="Arial"/>
                <w:b/>
                <w:iCs/>
                <w:sz w:val="20"/>
                <w:szCs w:val="20"/>
              </w:rPr>
            </w:pPr>
            <w:r>
              <w:rPr>
                <w:rFonts w:ascii="Arial" w:hAnsi="Arial" w:cs="Arial"/>
                <w:b/>
                <w:iCs/>
                <w:sz w:val="20"/>
                <w:szCs w:val="20"/>
              </w:rPr>
              <w:t>Existing Title Insurance Policy Information</w:t>
            </w:r>
          </w:p>
        </w:tc>
        <w:tc>
          <w:tcPr>
            <w:tcW w:w="6475" w:type="dxa"/>
          </w:tcPr>
          <w:p w:rsidRPr="00654EBE" w:rsidR="00F26A69" w:rsidRDefault="00F26A69" w14:paraId="1ABB8CDD" w14:textId="6588967C">
            <w:pPr>
              <w:spacing w:before="60" w:after="60"/>
              <w:rPr>
                <w:rFonts w:ascii="Arial" w:hAnsi="Arial" w:cs="Arial"/>
                <w:bCs/>
                <w:iCs/>
                <w:sz w:val="20"/>
                <w:szCs w:val="20"/>
              </w:rPr>
            </w:pPr>
            <w:r>
              <w:rPr>
                <w:rFonts w:ascii="Arial" w:hAnsi="Arial" w:cs="Arial"/>
                <w:sz w:val="20"/>
                <w:szCs w:val="20"/>
              </w:rPr>
              <w:t xml:space="preserve">ALTA Owner’s Policy of Title Insurance </w:t>
            </w:r>
            <w:proofErr w:type="gramStart"/>
            <w:r>
              <w:rPr>
                <w:rFonts w:ascii="Arial" w:hAnsi="Arial" w:cs="Arial"/>
                <w:sz w:val="20"/>
                <w:szCs w:val="20"/>
              </w:rPr>
              <w:t xml:space="preserve">No. </w:t>
            </w:r>
            <w:r>
              <w:rPr>
                <w:rFonts w:ascii="Arial" w:hAnsi="Arial" w:cs="Arial"/>
                <w:sz w:val="20"/>
                <w:szCs w:val="20"/>
                <w:highlight w:val="yellow"/>
              </w:rPr>
              <w:t>#</w:t>
            </w:r>
            <w:proofErr w:type="gramEnd"/>
            <w:r>
              <w:rPr>
                <w:rFonts w:ascii="Arial" w:hAnsi="Arial" w:cs="Arial"/>
                <w:sz w:val="20"/>
                <w:szCs w:val="20"/>
                <w:highlight w:val="yellow"/>
              </w:rPr>
              <w:t>Number</w:t>
            </w:r>
            <w:r>
              <w:rPr>
                <w:rFonts w:ascii="Arial" w:hAnsi="Arial" w:cs="Arial"/>
                <w:sz w:val="20"/>
                <w:szCs w:val="20"/>
              </w:rPr>
              <w:t xml:space="preserve">, dated </w:t>
            </w:r>
            <w:r>
              <w:rPr>
                <w:rFonts w:ascii="Arial" w:hAnsi="Arial" w:cs="Arial"/>
                <w:sz w:val="20"/>
                <w:szCs w:val="20"/>
                <w:highlight w:val="yellow"/>
              </w:rPr>
              <w:t>#Date</w:t>
            </w:r>
            <w:r>
              <w:rPr>
                <w:rFonts w:ascii="Arial" w:hAnsi="Arial" w:cs="Arial"/>
                <w:sz w:val="20"/>
                <w:szCs w:val="20"/>
              </w:rPr>
              <w:t>, issued by the Title Company</w:t>
            </w:r>
          </w:p>
        </w:tc>
      </w:tr>
      <w:tr w:rsidRPr="00654EBE" w:rsidR="00F26A69" w:rsidTr="00126CED" w14:paraId="1840C97B" w14:textId="77777777">
        <w:tc>
          <w:tcPr>
            <w:tcW w:w="2875" w:type="dxa"/>
          </w:tcPr>
          <w:p w:rsidRPr="00654EBE" w:rsidR="00F26A69" w:rsidRDefault="00F26A69" w14:paraId="32298437" w14:textId="77777777">
            <w:pPr>
              <w:spacing w:before="60" w:after="60"/>
              <w:rPr>
                <w:rFonts w:ascii="Arial" w:hAnsi="Arial" w:cs="Arial"/>
                <w:b/>
                <w:iCs/>
                <w:sz w:val="20"/>
                <w:szCs w:val="20"/>
              </w:rPr>
            </w:pPr>
            <w:r>
              <w:rPr>
                <w:rFonts w:ascii="Arial" w:hAnsi="Arial" w:cs="Arial"/>
                <w:b/>
                <w:iCs/>
                <w:sz w:val="20"/>
                <w:szCs w:val="20"/>
              </w:rPr>
              <w:t>Post-Closing Insurance Policy Period (see APA Section 5.10 (</w:t>
            </w:r>
            <w:r>
              <w:rPr>
                <w:rFonts w:ascii="Arial" w:hAnsi="Arial" w:cs="Arial"/>
                <w:b/>
                <w:i/>
                <w:sz w:val="20"/>
                <w:szCs w:val="20"/>
              </w:rPr>
              <w:t>Insurance</w:t>
            </w:r>
            <w:r>
              <w:rPr>
                <w:rFonts w:ascii="Arial" w:hAnsi="Arial" w:cs="Arial"/>
                <w:b/>
                <w:iCs/>
                <w:sz w:val="20"/>
                <w:szCs w:val="20"/>
              </w:rPr>
              <w:t>))</w:t>
            </w:r>
          </w:p>
        </w:tc>
        <w:tc>
          <w:tcPr>
            <w:tcW w:w="6475" w:type="dxa"/>
          </w:tcPr>
          <w:p w:rsidRPr="00654EBE" w:rsidR="00F26A69" w:rsidRDefault="00F26A69" w14:paraId="7DC20B84" w14:textId="77777777">
            <w:pPr>
              <w:spacing w:before="60" w:after="60"/>
              <w:rPr>
                <w:rFonts w:ascii="Arial" w:hAnsi="Arial" w:cs="Arial"/>
                <w:bCs/>
                <w:iCs/>
                <w:sz w:val="20"/>
                <w:szCs w:val="20"/>
                <w:highlight w:val="yellow"/>
              </w:rPr>
            </w:pPr>
            <w:r>
              <w:rPr>
                <w:rFonts w:ascii="Arial" w:hAnsi="Arial" w:cs="Arial"/>
                <w:bCs/>
                <w:iCs/>
                <w:sz w:val="20"/>
                <w:szCs w:val="20"/>
                <w:highlight w:val="yellow"/>
              </w:rPr>
              <w:t>#Number</w:t>
            </w:r>
            <w:r>
              <w:rPr>
                <w:rFonts w:ascii="Arial" w:hAnsi="Arial" w:cs="Arial"/>
                <w:bCs/>
                <w:iCs/>
                <w:sz w:val="20"/>
                <w:szCs w:val="20"/>
              </w:rPr>
              <w:t xml:space="preserve"> years following the Closing Date</w:t>
            </w:r>
          </w:p>
        </w:tc>
      </w:tr>
    </w:tbl>
    <w:p w:rsidR="00F26A69" w:rsidP="00F26A69" w:rsidRDefault="00F26A69" w14:paraId="087E3759" w14:textId="77777777">
      <w:pPr>
        <w:pStyle w:val="zGTitle12"/>
        <w:jc w:val="left"/>
        <w:rPr>
          <w:rFonts w:eastAsia="Calibri"/>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F26A69" w:rsidTr="00126CED" w14:paraId="0A6AB347" w14:textId="77777777">
        <w:trPr>
          <w:trHeight w:val="710"/>
        </w:trPr>
        <w:tc>
          <w:tcPr>
            <w:tcW w:w="9350" w:type="dxa"/>
            <w:gridSpan w:val="2"/>
            <w:shd w:val="clear" w:color="auto" w:fill="D9D9D9" w:themeFill="background1" w:themeFillShade="D9"/>
            <w:vAlign w:val="center"/>
          </w:tcPr>
          <w:p w:rsidRPr="00654EBE" w:rsidR="00F26A69" w:rsidRDefault="00F26A69" w14:paraId="6D1E05A1" w14:textId="77777777">
            <w:pPr>
              <w:jc w:val="center"/>
              <w:rPr>
                <w:rFonts w:ascii="Arial" w:hAnsi="Arial" w:cs="Arial"/>
                <w:b/>
                <w:bCs/>
                <w:sz w:val="20"/>
                <w:szCs w:val="20"/>
              </w:rPr>
            </w:pPr>
            <w:r>
              <w:rPr>
                <w:rFonts w:ascii="Arial" w:hAnsi="Arial" w:cs="Arial"/>
                <w:b/>
                <w:bCs/>
                <w:sz w:val="20"/>
                <w:szCs w:val="20"/>
              </w:rPr>
              <w:t>Table A-1.7</w:t>
            </w:r>
          </w:p>
          <w:p w:rsidRPr="00654EBE" w:rsidR="00F26A69" w:rsidRDefault="00F26A69" w14:paraId="33CAE973" w14:textId="77777777">
            <w:pPr>
              <w:jc w:val="center"/>
              <w:rPr>
                <w:rFonts w:ascii="Arial" w:hAnsi="Arial" w:cs="Arial"/>
                <w:b/>
                <w:bCs/>
                <w:sz w:val="20"/>
                <w:szCs w:val="20"/>
                <w:highlight w:val="yellow"/>
              </w:rPr>
            </w:pPr>
            <w:r>
              <w:rPr>
                <w:rFonts w:ascii="Arial" w:hAnsi="Arial" w:cs="Arial"/>
                <w:b/>
                <w:bCs/>
                <w:sz w:val="20"/>
                <w:szCs w:val="20"/>
              </w:rPr>
              <w:t>Estoppel Certificates Threshold</w:t>
            </w:r>
          </w:p>
        </w:tc>
      </w:tr>
      <w:tr w:rsidRPr="00654EBE" w:rsidR="00F26A69" w:rsidTr="00126CED" w14:paraId="61119CD0" w14:textId="77777777">
        <w:tc>
          <w:tcPr>
            <w:tcW w:w="2875" w:type="dxa"/>
          </w:tcPr>
          <w:p w:rsidRPr="00654EBE" w:rsidR="00F26A69" w:rsidRDefault="00F26A69" w14:paraId="3A6C5DBF" w14:textId="59AAEC6E">
            <w:pPr>
              <w:spacing w:before="60" w:after="60"/>
              <w:rPr>
                <w:rFonts w:ascii="Arial" w:hAnsi="Arial" w:cs="Arial"/>
                <w:b/>
                <w:bCs/>
                <w:sz w:val="20"/>
                <w:szCs w:val="20"/>
              </w:rPr>
            </w:pPr>
            <w:r>
              <w:rPr>
                <w:rFonts w:ascii="Arial" w:hAnsi="Arial" w:cs="Arial"/>
                <w:b/>
                <w:iCs/>
                <w:sz w:val="20"/>
                <w:szCs w:val="20"/>
              </w:rPr>
              <w:t>Estoppel Certificate Threshold (see APA Section 6.2.4(</w:t>
            </w:r>
            <w:r w:rsidR="003D6694">
              <w:rPr>
                <w:rFonts w:ascii="Arial" w:hAnsi="Arial" w:cs="Arial"/>
                <w:b/>
                <w:iCs/>
                <w:sz w:val="20"/>
                <w:szCs w:val="20"/>
              </w:rPr>
              <w:t>viii</w:t>
            </w:r>
            <w:r>
              <w:rPr>
                <w:rFonts w:ascii="Arial" w:hAnsi="Arial" w:cs="Arial"/>
                <w:b/>
                <w:iCs/>
                <w:sz w:val="20"/>
                <w:szCs w:val="20"/>
              </w:rPr>
              <w:t>) (</w:t>
            </w:r>
            <w:r>
              <w:rPr>
                <w:rFonts w:ascii="Arial" w:hAnsi="Arial" w:cs="Arial"/>
                <w:b/>
                <w:i/>
                <w:sz w:val="20"/>
                <w:szCs w:val="20"/>
              </w:rPr>
              <w:t>Seller Closing Deliveries</w:t>
            </w:r>
            <w:r>
              <w:rPr>
                <w:rFonts w:ascii="Arial" w:hAnsi="Arial" w:cs="Arial"/>
                <w:b/>
                <w:iCs/>
                <w:sz w:val="20"/>
                <w:szCs w:val="20"/>
              </w:rPr>
              <w:t>))</w:t>
            </w:r>
          </w:p>
        </w:tc>
        <w:tc>
          <w:tcPr>
            <w:tcW w:w="6475" w:type="dxa"/>
          </w:tcPr>
          <w:p w:rsidRPr="00654EBE" w:rsidR="00F26A69" w:rsidRDefault="00F26A69" w14:paraId="6A552FA4" w14:textId="77777777">
            <w:pPr>
              <w:spacing w:before="60" w:after="60"/>
              <w:rPr>
                <w:rFonts w:ascii="Arial" w:hAnsi="Arial" w:cs="Arial"/>
                <w:sz w:val="20"/>
                <w:szCs w:val="20"/>
                <w:highlight w:val="yellow"/>
              </w:rPr>
            </w:pPr>
            <w:r>
              <w:rPr>
                <w:rFonts w:ascii="Arial" w:hAnsi="Arial" w:cs="Arial"/>
                <w:sz w:val="20"/>
                <w:szCs w:val="20"/>
              </w:rPr>
              <w:t xml:space="preserve">At least </w:t>
            </w:r>
            <w:r>
              <w:rPr>
                <w:rFonts w:ascii="Arial" w:hAnsi="Arial" w:cs="Arial"/>
                <w:sz w:val="20"/>
                <w:szCs w:val="20"/>
                <w:highlight w:val="yellow"/>
              </w:rPr>
              <w:t>#Number</w:t>
            </w:r>
            <w:r>
              <w:rPr>
                <w:rFonts w:ascii="Arial" w:hAnsi="Arial" w:cs="Arial"/>
                <w:sz w:val="20"/>
                <w:szCs w:val="20"/>
              </w:rPr>
              <w:t>%</w:t>
            </w:r>
          </w:p>
        </w:tc>
      </w:tr>
    </w:tbl>
    <w:p w:rsidR="00E2099F" w:rsidP="007C2CCD" w:rsidRDefault="00E2099F" w14:paraId="21752473" w14:textId="77777777">
      <w:pPr>
        <w:spacing w:before="120" w:after="120" w:line="240" w:lineRule="auto"/>
        <w:jc w:val="right"/>
        <w:rPr>
          <w:rFonts w:ascii="Arial" w:hAnsi="Arial" w:cs="Arial"/>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E2099F" w:rsidTr="00126CED" w14:paraId="37FD799B" w14:textId="77777777">
        <w:trPr>
          <w:trHeight w:val="710"/>
        </w:trPr>
        <w:tc>
          <w:tcPr>
            <w:tcW w:w="9350" w:type="dxa"/>
            <w:gridSpan w:val="2"/>
            <w:shd w:val="clear" w:color="auto" w:fill="D9D9D9" w:themeFill="background1" w:themeFillShade="D9"/>
            <w:vAlign w:val="center"/>
          </w:tcPr>
          <w:p w:rsidRPr="00654EBE" w:rsidR="00E2099F" w:rsidRDefault="00E2099F" w14:paraId="2604128A" w14:textId="77777777">
            <w:pPr>
              <w:jc w:val="center"/>
              <w:rPr>
                <w:rFonts w:ascii="Arial" w:hAnsi="Arial" w:cs="Arial"/>
                <w:b/>
                <w:bCs/>
                <w:sz w:val="20"/>
                <w:szCs w:val="20"/>
              </w:rPr>
            </w:pPr>
            <w:r>
              <w:rPr>
                <w:rFonts w:ascii="Arial" w:hAnsi="Arial" w:cs="Arial"/>
                <w:b/>
                <w:bCs/>
                <w:sz w:val="20"/>
                <w:szCs w:val="20"/>
              </w:rPr>
              <w:t>Table A-1.8</w:t>
            </w:r>
          </w:p>
          <w:p w:rsidRPr="00654EBE" w:rsidR="00E2099F" w:rsidRDefault="00E2099F" w14:paraId="05480BE8" w14:textId="77777777">
            <w:pPr>
              <w:jc w:val="center"/>
              <w:rPr>
                <w:rFonts w:ascii="Arial" w:hAnsi="Arial" w:cs="Arial"/>
                <w:b/>
                <w:bCs/>
                <w:sz w:val="20"/>
                <w:szCs w:val="20"/>
                <w:highlight w:val="yellow"/>
              </w:rPr>
            </w:pPr>
            <w:r>
              <w:rPr>
                <w:rFonts w:ascii="Arial" w:hAnsi="Arial" w:cs="Arial"/>
                <w:b/>
                <w:bCs/>
                <w:sz w:val="20"/>
                <w:szCs w:val="20"/>
              </w:rPr>
              <w:t>Delay Liquidated Damages</w:t>
            </w:r>
          </w:p>
        </w:tc>
      </w:tr>
      <w:tr w:rsidRPr="00654EBE" w:rsidR="00E2099F" w:rsidTr="00126CED" w14:paraId="6A220518" w14:textId="77777777">
        <w:tc>
          <w:tcPr>
            <w:tcW w:w="2875" w:type="dxa"/>
          </w:tcPr>
          <w:p w:rsidRPr="00654EBE" w:rsidR="00E2099F" w:rsidRDefault="00E2099F" w14:paraId="122EFD3D" w14:textId="77777777">
            <w:pPr>
              <w:spacing w:before="60" w:after="60"/>
              <w:rPr>
                <w:rFonts w:ascii="Arial" w:hAnsi="Arial" w:cs="Arial"/>
                <w:b/>
                <w:bCs/>
                <w:sz w:val="20"/>
                <w:szCs w:val="20"/>
              </w:rPr>
            </w:pPr>
            <w:r>
              <w:rPr>
                <w:rFonts w:ascii="Arial" w:hAnsi="Arial" w:cs="Arial"/>
                <w:b/>
                <w:iCs/>
                <w:sz w:val="20"/>
                <w:szCs w:val="20"/>
              </w:rPr>
              <w:t>Delay Liquidated Damages</w:t>
            </w:r>
          </w:p>
        </w:tc>
        <w:tc>
          <w:tcPr>
            <w:tcW w:w="6475" w:type="dxa"/>
          </w:tcPr>
          <w:p w:rsidRPr="00E50F72" w:rsidR="00E2099F" w:rsidP="00F950DA" w:rsidRDefault="00E2099F" w14:paraId="2FB5BD0A" w14:textId="4DA48E44">
            <w:pPr>
              <w:spacing w:before="60" w:after="60"/>
              <w:jc w:val="both"/>
              <w:rPr>
                <w:rFonts w:ascii="Arial" w:hAnsi="Arial" w:cs="Arial"/>
                <w:sz w:val="20"/>
                <w:szCs w:val="20"/>
                <w:highlight w:val="yellow"/>
              </w:rPr>
            </w:pPr>
            <w:r>
              <w:rPr>
                <w:rFonts w:ascii="Arial" w:hAnsi="Arial" w:cs="Arial"/>
                <w:b/>
                <w:bCs/>
                <w:sz w:val="20"/>
                <w:szCs w:val="20"/>
                <w:highlight w:val="cyan"/>
              </w:rPr>
              <w:t>[</w:t>
            </w:r>
            <w:r>
              <w:rPr>
                <w:rFonts w:ascii="Arial" w:hAnsi="Arial" w:cs="Arial"/>
                <w:b/>
                <w:bCs/>
                <w:i/>
                <w:iCs/>
                <w:sz w:val="20"/>
                <w:szCs w:val="20"/>
                <w:highlight w:val="cyan"/>
                <w:u w:val="single"/>
              </w:rPr>
              <w:t>Note to Bidders</w:t>
            </w:r>
            <w:r>
              <w:rPr>
                <w:rFonts w:ascii="Arial" w:hAnsi="Arial" w:cs="Arial"/>
                <w:b/>
                <w:bCs/>
                <w:i/>
                <w:iCs/>
                <w:sz w:val="20"/>
                <w:szCs w:val="20"/>
                <w:highlight w:val="cyan"/>
              </w:rPr>
              <w:t xml:space="preserve">: The Liquidated Damages table will be populated with the applicable delay liquidated damages stated in Attachment </w:t>
            </w:r>
            <w:r w:rsidR="00DD603C">
              <w:rPr>
                <w:rFonts w:ascii="Arial" w:hAnsi="Arial" w:cs="Arial"/>
                <w:b/>
                <w:bCs/>
                <w:i/>
                <w:iCs/>
                <w:sz w:val="20"/>
                <w:szCs w:val="20"/>
                <w:highlight w:val="cyan"/>
              </w:rPr>
              <w:t>1</w:t>
            </w:r>
            <w:r>
              <w:rPr>
                <w:rFonts w:ascii="Arial" w:hAnsi="Arial" w:cs="Arial"/>
                <w:b/>
                <w:bCs/>
                <w:i/>
                <w:iCs/>
                <w:sz w:val="20"/>
                <w:szCs w:val="20"/>
                <w:highlight w:val="cyan"/>
              </w:rPr>
              <w:t xml:space="preserve"> (</w:t>
            </w:r>
            <w:r w:rsidR="00007C02">
              <w:rPr>
                <w:rFonts w:ascii="Arial" w:hAnsi="Arial" w:cs="Arial"/>
                <w:b/>
                <w:bCs/>
                <w:i/>
                <w:iCs/>
                <w:sz w:val="20"/>
                <w:szCs w:val="20"/>
                <w:highlight w:val="cyan"/>
              </w:rPr>
              <w:t>Performance Security and</w:t>
            </w:r>
            <w:r>
              <w:rPr>
                <w:rFonts w:ascii="Arial" w:hAnsi="Arial" w:cs="Arial"/>
                <w:b/>
                <w:bCs/>
                <w:i/>
                <w:iCs/>
                <w:sz w:val="20"/>
                <w:szCs w:val="20"/>
                <w:highlight w:val="cyan"/>
              </w:rPr>
              <w:t xml:space="preserve"> Liquidated Damages Summary) of RFP Exhibit </w:t>
            </w:r>
            <w:r w:rsidR="00007C02">
              <w:rPr>
                <w:rFonts w:ascii="Arial" w:hAnsi="Arial" w:cs="Arial"/>
                <w:b/>
                <w:bCs/>
                <w:i/>
                <w:iCs/>
                <w:sz w:val="20"/>
                <w:szCs w:val="20"/>
                <w:highlight w:val="cyan"/>
              </w:rPr>
              <w:t>D</w:t>
            </w:r>
            <w:r>
              <w:rPr>
                <w:rFonts w:ascii="Arial" w:hAnsi="Arial" w:cs="Arial"/>
                <w:b/>
                <w:bCs/>
                <w:i/>
                <w:iCs/>
                <w:sz w:val="20"/>
                <w:szCs w:val="20"/>
                <w:highlight w:val="cyan"/>
              </w:rPr>
              <w:t xml:space="preserve"> (Summary of </w:t>
            </w:r>
            <w:proofErr w:type="gramStart"/>
            <w:r>
              <w:rPr>
                <w:rFonts w:ascii="Arial" w:hAnsi="Arial" w:cs="Arial"/>
                <w:b/>
                <w:bCs/>
                <w:i/>
                <w:iCs/>
                <w:sz w:val="20"/>
                <w:szCs w:val="20"/>
                <w:highlight w:val="cyan"/>
              </w:rPr>
              <w:t>Fees, Costs</w:t>
            </w:r>
            <w:proofErr w:type="gramEnd"/>
            <w:r>
              <w:rPr>
                <w:rFonts w:ascii="Arial" w:hAnsi="Arial" w:cs="Arial"/>
                <w:b/>
                <w:bCs/>
                <w:i/>
                <w:iCs/>
                <w:sz w:val="20"/>
                <w:szCs w:val="20"/>
                <w:highlight w:val="cyan"/>
              </w:rPr>
              <w:t>, Security, and Deadlines).</w:t>
            </w:r>
            <w:r>
              <w:rPr>
                <w:rFonts w:ascii="Arial" w:hAnsi="Arial" w:cs="Arial"/>
                <w:b/>
                <w:bCs/>
                <w:sz w:val="20"/>
                <w:szCs w:val="20"/>
                <w:highlight w:val="cyan"/>
              </w:rPr>
              <w:t>]</w:t>
            </w:r>
          </w:p>
        </w:tc>
      </w:tr>
    </w:tbl>
    <w:p w:rsidR="00E2099F" w:rsidP="00F26A69" w:rsidRDefault="00E2099F" w14:paraId="0F434D0E" w14:textId="77777777">
      <w:pPr>
        <w:spacing w:before="120" w:after="120" w:line="240" w:lineRule="auto"/>
        <w:rPr>
          <w:rFonts w:ascii="Arial" w:hAnsi="Arial" w:cs="Arial"/>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8F3F19" w14:paraId="7780BEF8" w14:textId="77777777">
        <w:trPr>
          <w:trHeight w:val="710"/>
        </w:trPr>
        <w:tc>
          <w:tcPr>
            <w:tcW w:w="9350" w:type="dxa"/>
            <w:gridSpan w:val="2"/>
            <w:shd w:val="clear" w:color="auto" w:fill="D9D9D9" w:themeFill="background1" w:themeFillShade="D9"/>
            <w:vAlign w:val="center"/>
          </w:tcPr>
          <w:p w:rsidRPr="00654EBE" w:rsidR="008F3F19" w:rsidRDefault="008F3F19" w14:paraId="298DED6B" w14:textId="6D9EC08A">
            <w:pPr>
              <w:jc w:val="center"/>
              <w:rPr>
                <w:rFonts w:ascii="Arial" w:hAnsi="Arial" w:cs="Arial"/>
                <w:b/>
                <w:bCs/>
                <w:sz w:val="20"/>
                <w:szCs w:val="20"/>
              </w:rPr>
            </w:pPr>
            <w:r>
              <w:rPr>
                <w:rFonts w:ascii="Arial" w:hAnsi="Arial" w:cs="Arial"/>
                <w:b/>
                <w:bCs/>
                <w:sz w:val="20"/>
                <w:szCs w:val="20"/>
              </w:rPr>
              <w:t>Table A-1.9</w:t>
            </w:r>
          </w:p>
          <w:p w:rsidRPr="00654EBE" w:rsidR="008F3F19" w:rsidRDefault="008F3F19" w14:paraId="44D9EDB3" w14:textId="6F843463">
            <w:pPr>
              <w:jc w:val="center"/>
              <w:rPr>
                <w:rFonts w:ascii="Arial" w:hAnsi="Arial" w:cs="Arial"/>
                <w:b/>
                <w:bCs/>
                <w:sz w:val="20"/>
                <w:szCs w:val="20"/>
                <w:highlight w:val="yellow"/>
              </w:rPr>
            </w:pPr>
            <w:r>
              <w:rPr>
                <w:rFonts w:ascii="Arial" w:hAnsi="Arial" w:cs="Arial"/>
                <w:b/>
                <w:bCs/>
                <w:sz w:val="20"/>
                <w:szCs w:val="20"/>
              </w:rPr>
              <w:t>Required Amount of Performance Security</w:t>
            </w:r>
          </w:p>
        </w:tc>
      </w:tr>
      <w:tr w:rsidRPr="00654EBE" w:rsidR="008F3F19" w14:paraId="14D97607" w14:textId="77777777">
        <w:tc>
          <w:tcPr>
            <w:tcW w:w="2875" w:type="dxa"/>
          </w:tcPr>
          <w:p w:rsidRPr="00654EBE" w:rsidR="008F3F19" w:rsidRDefault="008F3F19" w14:paraId="212B3338" w14:textId="11DAFB29">
            <w:pPr>
              <w:spacing w:before="60" w:after="60"/>
              <w:rPr>
                <w:rFonts w:ascii="Arial" w:hAnsi="Arial" w:cs="Arial"/>
                <w:b/>
                <w:bCs/>
                <w:sz w:val="20"/>
                <w:szCs w:val="20"/>
              </w:rPr>
            </w:pPr>
            <w:r>
              <w:rPr>
                <w:rFonts w:ascii="Arial" w:hAnsi="Arial" w:cs="Arial"/>
                <w:b/>
                <w:bCs/>
                <w:sz w:val="20"/>
                <w:szCs w:val="20"/>
              </w:rPr>
              <w:t>Performance Security</w:t>
            </w:r>
          </w:p>
        </w:tc>
        <w:tc>
          <w:tcPr>
            <w:tcW w:w="6475" w:type="dxa"/>
          </w:tcPr>
          <w:p w:rsidRPr="00E50F72" w:rsidR="008F3F19" w:rsidRDefault="008F3F19" w14:paraId="1158C064" w14:textId="4E0E3D08">
            <w:pPr>
              <w:spacing w:before="60" w:after="60"/>
              <w:jc w:val="both"/>
              <w:rPr>
                <w:rFonts w:ascii="Arial" w:hAnsi="Arial" w:cs="Arial"/>
                <w:sz w:val="20"/>
                <w:szCs w:val="20"/>
                <w:highlight w:val="yellow"/>
              </w:rPr>
            </w:pPr>
            <w:r>
              <w:rPr>
                <w:rFonts w:ascii="Arial" w:hAnsi="Arial" w:cs="Arial"/>
                <w:b/>
                <w:bCs/>
                <w:sz w:val="20"/>
                <w:szCs w:val="20"/>
                <w:highlight w:val="cyan"/>
              </w:rPr>
              <w:t>[</w:t>
            </w:r>
            <w:r>
              <w:rPr>
                <w:rFonts w:ascii="Arial" w:hAnsi="Arial" w:cs="Arial"/>
                <w:b/>
                <w:bCs/>
                <w:i/>
                <w:iCs/>
                <w:sz w:val="20"/>
                <w:szCs w:val="20"/>
                <w:highlight w:val="cyan"/>
                <w:u w:val="single"/>
              </w:rPr>
              <w:t>Note to Bidders</w:t>
            </w:r>
            <w:r>
              <w:rPr>
                <w:rFonts w:ascii="Arial" w:hAnsi="Arial" w:cs="Arial"/>
                <w:b/>
                <w:bCs/>
                <w:i/>
                <w:iCs/>
                <w:sz w:val="20"/>
                <w:szCs w:val="20"/>
                <w:highlight w:val="cyan"/>
              </w:rPr>
              <w:t xml:space="preserve">: The Required Amount of Performance Security table will be populated with the applicable required APA Performance </w:t>
            </w:r>
            <w:r w:rsidR="00946AB8">
              <w:rPr>
                <w:rFonts w:ascii="Arial" w:hAnsi="Arial" w:cs="Arial"/>
                <w:b/>
                <w:bCs/>
                <w:i/>
                <w:iCs/>
                <w:sz w:val="20"/>
                <w:szCs w:val="20"/>
                <w:highlight w:val="cyan"/>
              </w:rPr>
              <w:t>Security</w:t>
            </w:r>
            <w:r>
              <w:rPr>
                <w:rFonts w:ascii="Arial" w:hAnsi="Arial" w:cs="Arial"/>
                <w:b/>
                <w:bCs/>
                <w:i/>
                <w:iCs/>
                <w:sz w:val="20"/>
                <w:szCs w:val="20"/>
                <w:highlight w:val="cyan"/>
              </w:rPr>
              <w:t xml:space="preserve"> Amount </w:t>
            </w:r>
            <w:r w:rsidR="00946AB8">
              <w:rPr>
                <w:rFonts w:ascii="Arial" w:hAnsi="Arial" w:cs="Arial"/>
                <w:b/>
                <w:bCs/>
                <w:i/>
                <w:iCs/>
                <w:sz w:val="20"/>
                <w:szCs w:val="20"/>
                <w:highlight w:val="cyan"/>
              </w:rPr>
              <w:t>stated in</w:t>
            </w:r>
            <w:r>
              <w:rPr>
                <w:rFonts w:ascii="Arial" w:hAnsi="Arial" w:cs="Arial"/>
                <w:b/>
                <w:bCs/>
                <w:i/>
                <w:iCs/>
                <w:sz w:val="20"/>
                <w:szCs w:val="20"/>
                <w:highlight w:val="cyan"/>
              </w:rPr>
              <w:t xml:space="preserve"> Attachment 1 (Performance Security and Liquidated Damages Summary) of RFP Exhibit D (Summary of Fees, Costs, Security, and Deadlines).</w:t>
            </w:r>
            <w:r>
              <w:rPr>
                <w:rFonts w:ascii="Arial" w:hAnsi="Arial" w:cs="Arial"/>
                <w:b/>
                <w:bCs/>
                <w:sz w:val="20"/>
                <w:szCs w:val="20"/>
                <w:highlight w:val="cyan"/>
              </w:rPr>
              <w:t>]</w:t>
            </w:r>
          </w:p>
        </w:tc>
      </w:tr>
    </w:tbl>
    <w:p w:rsidR="008F3F19" w:rsidP="00F26A69" w:rsidRDefault="008F3F19" w14:paraId="49BB17D4" w14:textId="77777777">
      <w:pPr>
        <w:spacing w:before="120" w:after="120" w:line="240" w:lineRule="auto"/>
        <w:rPr>
          <w:rFonts w:ascii="Arial" w:hAnsi="Arial" w:cs="Arial"/>
          <w:sz w:val="20"/>
          <w:szCs w:val="20"/>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475"/>
      </w:tblGrid>
      <w:tr w:rsidRPr="00654EBE" w:rsidR="006F7EB1" w:rsidTr="00126CED" w14:paraId="65E240BF" w14:textId="77777777">
        <w:trPr>
          <w:trHeight w:val="710"/>
        </w:trPr>
        <w:tc>
          <w:tcPr>
            <w:tcW w:w="9350" w:type="dxa"/>
            <w:gridSpan w:val="2"/>
            <w:shd w:val="clear" w:color="auto" w:fill="D9D9D9" w:themeFill="background1" w:themeFillShade="D9"/>
            <w:vAlign w:val="center"/>
          </w:tcPr>
          <w:p w:rsidRPr="00654EBE" w:rsidR="006F7EB1" w:rsidRDefault="006F7EB1" w14:paraId="23EFC710" w14:textId="1DF24FE6">
            <w:pPr>
              <w:jc w:val="center"/>
              <w:rPr>
                <w:rFonts w:ascii="Arial" w:hAnsi="Arial" w:cs="Arial"/>
                <w:b/>
                <w:bCs/>
                <w:sz w:val="20"/>
                <w:szCs w:val="20"/>
              </w:rPr>
            </w:pPr>
            <w:r>
              <w:rPr>
                <w:rFonts w:ascii="Arial" w:hAnsi="Arial" w:cs="Arial"/>
                <w:b/>
                <w:bCs/>
                <w:sz w:val="20"/>
                <w:szCs w:val="20"/>
              </w:rPr>
              <w:t>Table A-1.</w:t>
            </w:r>
            <w:r w:rsidR="008F3F19">
              <w:rPr>
                <w:rFonts w:ascii="Arial" w:hAnsi="Arial" w:cs="Arial"/>
                <w:b/>
                <w:bCs/>
                <w:sz w:val="20"/>
                <w:szCs w:val="20"/>
              </w:rPr>
              <w:t>10</w:t>
            </w:r>
          </w:p>
          <w:p w:rsidRPr="00654EBE" w:rsidR="006F7EB1" w:rsidRDefault="006F7EB1" w14:paraId="40B47466" w14:textId="77777777">
            <w:pPr>
              <w:jc w:val="center"/>
              <w:rPr>
                <w:rFonts w:ascii="Arial" w:hAnsi="Arial" w:cs="Arial"/>
                <w:b/>
                <w:bCs/>
                <w:sz w:val="20"/>
                <w:szCs w:val="20"/>
                <w:highlight w:val="yellow"/>
              </w:rPr>
            </w:pPr>
            <w:r>
              <w:rPr>
                <w:rFonts w:ascii="Arial" w:hAnsi="Arial" w:cs="Arial"/>
                <w:b/>
                <w:bCs/>
                <w:sz w:val="20"/>
                <w:szCs w:val="20"/>
              </w:rPr>
              <w:t>Knowledge Person(s)</w:t>
            </w:r>
          </w:p>
        </w:tc>
      </w:tr>
      <w:tr w:rsidRPr="00654EBE" w:rsidR="006F7EB1" w:rsidTr="00126CED" w14:paraId="39664BBA" w14:textId="77777777">
        <w:tc>
          <w:tcPr>
            <w:tcW w:w="2875" w:type="dxa"/>
          </w:tcPr>
          <w:p w:rsidRPr="00654EBE" w:rsidR="006F7EB1" w:rsidRDefault="006F7EB1" w14:paraId="33DADB78" w14:textId="77777777">
            <w:pPr>
              <w:spacing w:before="60" w:after="60"/>
              <w:rPr>
                <w:rFonts w:ascii="Arial" w:hAnsi="Arial" w:cs="Arial"/>
                <w:b/>
                <w:bCs/>
                <w:sz w:val="20"/>
                <w:szCs w:val="20"/>
              </w:rPr>
            </w:pPr>
            <w:r>
              <w:rPr>
                <w:rFonts w:ascii="Arial" w:hAnsi="Arial" w:cs="Arial"/>
                <w:b/>
                <w:iCs/>
                <w:sz w:val="20"/>
                <w:szCs w:val="20"/>
              </w:rPr>
              <w:t>Seller Knowledge Person(s)</w:t>
            </w:r>
          </w:p>
        </w:tc>
        <w:tc>
          <w:tcPr>
            <w:tcW w:w="6475" w:type="dxa"/>
          </w:tcPr>
          <w:p w:rsidR="006F7EB1" w:rsidRDefault="006F7EB1" w14:paraId="6E225CA3"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p w:rsidR="006F7EB1" w:rsidRDefault="006F7EB1" w14:paraId="3748D572"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p w:rsidR="006F7EB1" w:rsidRDefault="006F7EB1" w14:paraId="0031568D"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p w:rsidRPr="00E50F72" w:rsidR="006F7EB1" w:rsidRDefault="006F7EB1" w14:paraId="7FD2146B"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tc>
      </w:tr>
      <w:tr w:rsidRPr="00654EBE" w:rsidR="006F7EB1" w:rsidTr="00126CED" w14:paraId="01F1ED45" w14:textId="77777777">
        <w:tc>
          <w:tcPr>
            <w:tcW w:w="2875" w:type="dxa"/>
          </w:tcPr>
          <w:p w:rsidR="006F7EB1" w:rsidRDefault="006F7EB1" w14:paraId="2473F45D" w14:textId="77777777">
            <w:pPr>
              <w:spacing w:before="60" w:after="60"/>
              <w:rPr>
                <w:rFonts w:ascii="Arial" w:hAnsi="Arial" w:cs="Arial"/>
                <w:b/>
                <w:iCs/>
                <w:sz w:val="20"/>
                <w:szCs w:val="20"/>
              </w:rPr>
            </w:pPr>
            <w:r>
              <w:rPr>
                <w:rFonts w:ascii="Arial" w:hAnsi="Arial" w:cs="Arial"/>
                <w:b/>
                <w:iCs/>
                <w:sz w:val="20"/>
                <w:szCs w:val="20"/>
              </w:rPr>
              <w:t>GPC Knowledge Person(s)</w:t>
            </w:r>
          </w:p>
        </w:tc>
        <w:tc>
          <w:tcPr>
            <w:tcW w:w="6475" w:type="dxa"/>
          </w:tcPr>
          <w:p w:rsidR="006F7EB1" w:rsidRDefault="006F7EB1" w14:paraId="0F726CCE"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p w:rsidR="006F7EB1" w:rsidRDefault="006F7EB1" w14:paraId="33C4C638"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p w:rsidR="006F7EB1" w:rsidRDefault="006F7EB1" w14:paraId="1EF532B4"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p w:rsidR="006F7EB1" w:rsidRDefault="006F7EB1" w14:paraId="3FA6ED7F" w14:textId="77777777">
            <w:pPr>
              <w:spacing w:before="60" w:after="60"/>
              <w:rPr>
                <w:rFonts w:ascii="Arial" w:hAnsi="Arial" w:cs="Arial"/>
                <w:sz w:val="20"/>
                <w:szCs w:val="20"/>
                <w:highlight w:val="yellow"/>
              </w:rPr>
            </w:pPr>
            <w:proofErr w:type="gramStart"/>
            <w:r>
              <w:rPr>
                <w:rFonts w:ascii="Arial" w:hAnsi="Arial" w:cs="Arial"/>
                <w:sz w:val="20"/>
                <w:szCs w:val="20"/>
                <w:highlight w:val="yellow"/>
              </w:rPr>
              <w:t>#Name, #</w:t>
            </w:r>
            <w:proofErr w:type="gramEnd"/>
            <w:r>
              <w:rPr>
                <w:rFonts w:ascii="Arial" w:hAnsi="Arial" w:cs="Arial"/>
                <w:sz w:val="20"/>
                <w:szCs w:val="20"/>
                <w:highlight w:val="yellow"/>
              </w:rPr>
              <w:t>Title</w:t>
            </w:r>
          </w:p>
        </w:tc>
      </w:tr>
    </w:tbl>
    <w:p w:rsidR="00E2099F" w:rsidP="00F26A69" w:rsidRDefault="00E2099F" w14:paraId="39281229" w14:textId="77777777">
      <w:pPr>
        <w:spacing w:before="120" w:after="120" w:line="240" w:lineRule="auto"/>
        <w:rPr>
          <w:rFonts w:ascii="Arial" w:hAnsi="Arial" w:cs="Arial"/>
          <w:sz w:val="20"/>
          <w:szCs w:val="20"/>
        </w:rPr>
      </w:pPr>
    </w:p>
    <w:p w:rsidR="00E2099F" w:rsidP="00F26A69" w:rsidRDefault="00E2099F" w14:paraId="514D7B2C" w14:textId="77777777">
      <w:pPr>
        <w:spacing w:before="120" w:after="120" w:line="240" w:lineRule="auto"/>
        <w:rPr>
          <w:rFonts w:ascii="Arial" w:hAnsi="Arial" w:cs="Arial"/>
          <w:sz w:val="20"/>
          <w:szCs w:val="20"/>
        </w:rPr>
      </w:pPr>
    </w:p>
    <w:p w:rsidR="00E2099F" w:rsidP="00F26A69" w:rsidRDefault="00E2099F" w14:paraId="4C3896CB" w14:textId="77777777">
      <w:pPr>
        <w:spacing w:before="120" w:after="120" w:line="240" w:lineRule="auto"/>
        <w:rPr>
          <w:rFonts w:ascii="Arial" w:hAnsi="Arial" w:cs="Arial"/>
          <w:sz w:val="20"/>
          <w:szCs w:val="20"/>
        </w:rPr>
        <w:sectPr w:rsidR="00E2099F" w:rsidSect="00F26A69">
          <w:headerReference w:type="even" r:id="rId22"/>
          <w:headerReference w:type="default" r:id="rId23"/>
          <w:footerReference w:type="even" r:id="rId24"/>
          <w:footerReference w:type="default" r:id="rId25"/>
          <w:headerReference w:type="first" r:id="rId26"/>
          <w:footerReference w:type="first" r:id="rId27"/>
          <w:pgSz w:w="12240" w:h="15840" w:code="1"/>
          <w:pgMar w:top="1080" w:right="1080" w:bottom="936" w:left="1224" w:header="432" w:footer="576" w:gutter="0"/>
          <w:cols w:space="720"/>
          <w:titlePg/>
          <w:docGrid w:linePitch="326"/>
        </w:sectPr>
      </w:pPr>
    </w:p>
    <w:p w:rsidRPr="00F26A69" w:rsidR="003F22AC" w:rsidP="00F26A69" w:rsidRDefault="003F22AC" w14:paraId="31FDD292" w14:textId="77777777">
      <w:pPr>
        <w:pStyle w:val="zGTitleExhibit"/>
      </w:pPr>
      <w:bookmarkStart w:name="_Toc181639513" w:id="579"/>
      <w:bookmarkStart w:name="_Toc214644833" w:id="580"/>
      <w:r>
        <w:lastRenderedPageBreak/>
        <w:t>Exhibit A-2 – Notice Contacts</w:t>
      </w:r>
      <w:bookmarkEnd w:id="579"/>
      <w:bookmarkEnd w:id="580"/>
    </w:p>
    <w:p w:rsidR="00906878" w:rsidP="007B6E48" w:rsidRDefault="00B64C51" w14:paraId="7184094C" w14:textId="163082C3">
      <w:pPr>
        <w:widowControl w:val="0"/>
        <w:spacing w:after="240"/>
        <w:jc w:val="both"/>
        <w:rPr>
          <w:rFonts w:ascii="Arial" w:hAnsi="Arial" w:cs="Arial"/>
          <w:b/>
          <w:bCs/>
          <w:sz w:val="20"/>
          <w:szCs w:val="20"/>
        </w:rPr>
      </w:pPr>
      <w:r>
        <w:rPr>
          <w:rFonts w:ascii="Arial" w:hAnsi="Arial" w:cs="Arial"/>
          <w:b/>
          <w:bCs/>
          <w:sz w:val="20"/>
          <w:szCs w:val="20"/>
        </w:rPr>
        <w:t xml:space="preserve">Address for delivery of </w:t>
      </w:r>
      <w:r w:rsidR="009E4644">
        <w:rPr>
          <w:rFonts w:ascii="Arial" w:hAnsi="Arial" w:cs="Arial"/>
          <w:b/>
          <w:bCs/>
          <w:sz w:val="20"/>
          <w:szCs w:val="20"/>
        </w:rPr>
        <w:t xml:space="preserve">Eligible Collateral for </w:t>
      </w:r>
      <w:r>
        <w:rPr>
          <w:rFonts w:ascii="Arial" w:hAnsi="Arial" w:cs="Arial"/>
          <w:b/>
          <w:bCs/>
          <w:sz w:val="20"/>
          <w:szCs w:val="20"/>
        </w:rPr>
        <w:t>Performance Security in accordance with APA Section 5.15 (</w:t>
      </w:r>
      <w:r>
        <w:rPr>
          <w:rFonts w:ascii="Arial" w:hAnsi="Arial" w:cs="Arial"/>
          <w:b/>
          <w:bCs/>
          <w:i/>
          <w:iCs/>
          <w:sz w:val="20"/>
          <w:szCs w:val="20"/>
        </w:rPr>
        <w:t>Performance Security</w:t>
      </w:r>
      <w:r>
        <w:rPr>
          <w:rFonts w:ascii="Arial" w:hAnsi="Arial" w:cs="Arial"/>
          <w:b/>
          <w:bCs/>
          <w:sz w:val="20"/>
          <w:szCs w:val="20"/>
        </w:rPr>
        <w:t>):</w:t>
      </w:r>
    </w:p>
    <w:p w:rsidRPr="002F38EE" w:rsidR="002F38EE" w:rsidP="002F38EE" w:rsidRDefault="002F38EE" w14:paraId="5A9BD11E" w14:textId="77777777">
      <w:pPr>
        <w:pStyle w:val="ArticleL2"/>
        <w:widowControl w:val="0"/>
        <w:spacing w:after="0"/>
        <w:rPr>
          <w:rFonts w:ascii="Arial" w:hAnsi="Arial" w:cs="Arial"/>
          <w:sz w:val="20"/>
        </w:rPr>
      </w:pPr>
      <w:r w:rsidRPr="002F38EE">
        <w:rPr>
          <w:rFonts w:ascii="Arial" w:hAnsi="Arial" w:cs="Arial"/>
          <w:sz w:val="20"/>
        </w:rPr>
        <w:t>For any Eligible Collateral in the form of a Letter of Credit or Seller Guaranty, the following address:</w:t>
      </w:r>
    </w:p>
    <w:p w:rsidR="004F7C7F" w:rsidRDefault="004F7C7F" w14:paraId="2EEFB126" w14:textId="77777777">
      <w:pPr>
        <w:pStyle w:val="zGNormal"/>
      </w:pPr>
    </w:p>
    <w:p w:rsidR="00906878" w:rsidRDefault="00B64C51" w14:paraId="716595C7" w14:textId="2792345E">
      <w:pPr>
        <w:pStyle w:val="zGNormal"/>
      </w:pPr>
      <w:r>
        <w:t xml:space="preserve">Georgia Power Company </w:t>
      </w:r>
    </w:p>
    <w:p w:rsidR="00906878" w:rsidRDefault="00B64C51" w14:paraId="612FE628" w14:textId="77777777">
      <w:pPr>
        <w:pStyle w:val="zGNormal"/>
      </w:pPr>
      <w:r>
        <w:t>c/o Southern Company Services Inc.</w:t>
      </w:r>
    </w:p>
    <w:p w:rsidR="00906878" w:rsidRDefault="00B64C51" w14:paraId="059D77E8" w14:textId="77777777">
      <w:pPr>
        <w:pStyle w:val="zGNormal"/>
      </w:pPr>
      <w:r>
        <w:t xml:space="preserve">Attn: Assistant Treasurer, BIN </w:t>
      </w:r>
      <w:r>
        <w:rPr>
          <w:highlight w:val="yellow"/>
        </w:rPr>
        <w:t>#BinNumber</w:t>
      </w:r>
    </w:p>
    <w:p w:rsidR="00906878" w:rsidRDefault="00B64C51" w14:paraId="050DBDED" w14:textId="77777777">
      <w:pPr>
        <w:pStyle w:val="zGNormal"/>
      </w:pPr>
      <w:r>
        <w:t>30 Ivan Allen Jr. Blvd.</w:t>
      </w:r>
    </w:p>
    <w:p w:rsidR="00906878" w:rsidRDefault="00B64C51" w14:paraId="7B3BDAE0" w14:textId="77777777">
      <w:pPr>
        <w:pStyle w:val="zGNormal"/>
      </w:pPr>
      <w:r>
        <w:t>Atlanta, Georgia 30308</w:t>
      </w:r>
    </w:p>
    <w:p w:rsidR="005D7889" w:rsidRDefault="005D7889" w14:paraId="20FB8BE5" w14:textId="773C1F9F">
      <w:pPr>
        <w:pStyle w:val="zGNormal"/>
      </w:pPr>
    </w:p>
    <w:p w:rsidR="005D7889" w:rsidRDefault="005D7889" w14:paraId="0A239B50" w14:textId="58554E1F">
      <w:pPr>
        <w:pStyle w:val="zGNormal"/>
      </w:pPr>
      <w:r>
        <w:t xml:space="preserve">For any Eligible Collateral in the form of cash, GPC will provide the Security Account information, </w:t>
      </w:r>
      <w:r w:rsidR="00004F8B">
        <w:t xml:space="preserve">including wiring instructions, within a reasonable time after receipt of Seller’s written request for the information. </w:t>
      </w:r>
      <w:r>
        <w:t xml:space="preserve"> </w:t>
      </w:r>
    </w:p>
    <w:p w:rsidR="00EF610E" w:rsidRDefault="00EF610E" w14:paraId="414A328E" w14:textId="77777777">
      <w:pPr>
        <w:pStyle w:val="zGNormal"/>
      </w:pPr>
    </w:p>
    <w:p w:rsidRPr="00AB38D8" w:rsidR="003F22AC" w:rsidP="003F22AC" w:rsidRDefault="003F22AC" w14:paraId="4248C2E7" w14:textId="77777777">
      <w:pPr>
        <w:widowControl w:val="0"/>
        <w:spacing w:after="240"/>
        <w:rPr>
          <w:rFonts w:ascii="Arial" w:hAnsi="Arial" w:cs="Arial"/>
          <w:b/>
          <w:bCs/>
          <w:sz w:val="20"/>
          <w:szCs w:val="20"/>
        </w:rPr>
      </w:pPr>
      <w:r>
        <w:rPr>
          <w:rFonts w:ascii="Arial" w:hAnsi="Arial" w:cs="Arial"/>
          <w:b/>
          <w:bCs/>
          <w:sz w:val="20"/>
          <w:szCs w:val="20"/>
        </w:rPr>
        <w:t xml:space="preserve">Addresses for delivery of Notices to the Parties in accordance with </w:t>
      </w:r>
      <w:r>
        <w:rPr>
          <w:rFonts w:ascii="Arial" w:hAnsi="Arial" w:eastAsia="MS Gothic" w:cs="Arial"/>
          <w:b/>
          <w:sz w:val="20"/>
          <w:szCs w:val="20"/>
        </w:rPr>
        <w:t>APA</w:t>
      </w:r>
      <w:r>
        <w:rPr>
          <w:rFonts w:ascii="Arial" w:hAnsi="Arial" w:cs="Arial"/>
          <w:b/>
          <w:bCs/>
          <w:sz w:val="20"/>
          <w:szCs w:val="20"/>
        </w:rPr>
        <w:t xml:space="preserve"> Section 10.1 (</w:t>
      </w:r>
      <w:r>
        <w:rPr>
          <w:rFonts w:ascii="Arial" w:hAnsi="Arial" w:cs="Arial"/>
          <w:b/>
          <w:bCs/>
          <w:i/>
          <w:iCs/>
          <w:sz w:val="20"/>
          <w:szCs w:val="20"/>
        </w:rPr>
        <w:t>Notices</w:t>
      </w:r>
      <w:r>
        <w:rPr>
          <w:rFonts w:ascii="Arial" w:hAnsi="Arial" w:cs="Arial"/>
          <w:b/>
          <w:bCs/>
          <w:sz w:val="20"/>
          <w:szCs w:val="20"/>
        </w:rPr>
        <w:t>):</w:t>
      </w:r>
    </w:p>
    <w:p w:rsidRPr="001B05F8" w:rsidR="003F22AC" w:rsidP="003F22AC" w:rsidRDefault="5A0D1371" w14:paraId="7C69F7BF" w14:textId="4F162CED">
      <w:pPr>
        <w:rPr>
          <w:rFonts w:ascii="Arial" w:hAnsi="Arial" w:cs="Arial"/>
          <w:sz w:val="20"/>
          <w:szCs w:val="20"/>
        </w:rPr>
      </w:pPr>
      <w:r w:rsidRPr="226D1097">
        <w:rPr>
          <w:rFonts w:ascii="Arial" w:hAnsi="Arial" w:cs="Arial"/>
          <w:sz w:val="20"/>
          <w:szCs w:val="20"/>
        </w:rPr>
        <w:t xml:space="preserve">In accordance with </w:t>
      </w:r>
      <w:r w:rsidRPr="226D1097">
        <w:rPr>
          <w:rFonts w:ascii="Arial" w:hAnsi="Arial" w:eastAsia="MS Gothic" w:cs="Arial"/>
          <w:sz w:val="20"/>
          <w:szCs w:val="20"/>
        </w:rPr>
        <w:t>APA</w:t>
      </w:r>
      <w:r w:rsidRPr="226D1097">
        <w:rPr>
          <w:rFonts w:ascii="Arial" w:hAnsi="Arial" w:cs="Arial"/>
          <w:sz w:val="20"/>
          <w:szCs w:val="20"/>
        </w:rPr>
        <w:t xml:space="preserve"> Section 10.1, all notices must include the </w:t>
      </w:r>
      <w:r w:rsidRPr="226D1097" w:rsidR="48A04266">
        <w:rPr>
          <w:rFonts w:ascii="Arial" w:hAnsi="Arial" w:cs="Arial"/>
          <w:sz w:val="20"/>
          <w:szCs w:val="20"/>
        </w:rPr>
        <w:t>A</w:t>
      </w:r>
      <w:r w:rsidRPr="226D1097" w:rsidR="39A06A7F">
        <w:rPr>
          <w:rFonts w:ascii="Arial" w:hAnsi="Arial" w:cs="Arial"/>
          <w:sz w:val="20"/>
          <w:szCs w:val="20"/>
        </w:rPr>
        <w:t>PA title and the</w:t>
      </w:r>
      <w:r w:rsidRPr="226D1097">
        <w:rPr>
          <w:rFonts w:ascii="Arial" w:hAnsi="Arial" w:cs="Arial"/>
          <w:sz w:val="20"/>
          <w:szCs w:val="20"/>
        </w:rPr>
        <w:t xml:space="preserve"> Facility name.</w:t>
      </w:r>
    </w:p>
    <w:p w:rsidRPr="003F22AC" w:rsidR="003F22AC" w:rsidP="003F22AC" w:rsidRDefault="003F22AC" w14:paraId="085266CE" w14:textId="77777777">
      <w:pPr>
        <w:widowControl w:val="0"/>
        <w:spacing w:after="0"/>
        <w:ind w:left="720"/>
        <w:rPr>
          <w:rFonts w:ascii="Arial" w:hAnsi="Arial" w:cs="Arial"/>
          <w:sz w:val="20"/>
          <w:szCs w:val="20"/>
        </w:rPr>
      </w:pPr>
    </w:p>
    <w:tbl>
      <w:tblPr>
        <w:tblStyle w:val="TableGrid"/>
        <w:tblW w:w="0" w:type="auto"/>
        <w:tblLook w:val="04A0" w:firstRow="1" w:lastRow="0" w:firstColumn="1" w:lastColumn="0" w:noHBand="0" w:noVBand="1"/>
      </w:tblPr>
      <w:tblGrid>
        <w:gridCol w:w="4675"/>
        <w:gridCol w:w="4675"/>
      </w:tblGrid>
      <w:tr w:rsidRPr="003F22AC" w:rsidR="003F22AC" w:rsidTr="000C027C" w14:paraId="662EE4F2" w14:textId="77777777">
        <w:tc>
          <w:tcPr>
            <w:tcW w:w="4675" w:type="dxa"/>
          </w:tcPr>
          <w:p w:rsidRPr="003F22AC" w:rsidR="003F22AC" w:rsidP="000C027C" w:rsidRDefault="003F22AC" w14:paraId="5C3EAF98" w14:textId="77777777">
            <w:pPr>
              <w:widowControl w:val="0"/>
              <w:rPr>
                <w:rFonts w:ascii="Arial" w:hAnsi="Arial" w:cs="Arial"/>
                <w:b/>
                <w:bCs/>
                <w:sz w:val="20"/>
                <w:szCs w:val="20"/>
              </w:rPr>
            </w:pPr>
            <w:r>
              <w:rPr>
                <w:rFonts w:ascii="Arial" w:hAnsi="Arial" w:cs="Arial"/>
                <w:b/>
                <w:bCs/>
                <w:sz w:val="20"/>
                <w:szCs w:val="20"/>
              </w:rPr>
              <w:t>Notice to GPC:</w:t>
            </w:r>
          </w:p>
          <w:p w:rsidRPr="003F22AC" w:rsidR="003F22AC" w:rsidP="000C027C" w:rsidRDefault="003F22AC" w14:paraId="6BE35459" w14:textId="77777777">
            <w:pPr>
              <w:widowControl w:val="0"/>
              <w:rPr>
                <w:rFonts w:ascii="Arial" w:hAnsi="Arial" w:cs="Arial"/>
                <w:b/>
                <w:bCs/>
                <w:sz w:val="20"/>
                <w:szCs w:val="20"/>
              </w:rPr>
            </w:pPr>
          </w:p>
          <w:p w:rsidR="009B1A86" w:rsidP="000C027C" w:rsidRDefault="009B1A86" w14:paraId="0B27DD63" w14:textId="77777777">
            <w:pPr>
              <w:widowControl w:val="0"/>
              <w:rPr>
                <w:rFonts w:ascii="Arial" w:hAnsi="Arial" w:cs="Arial"/>
                <w:sz w:val="20"/>
                <w:szCs w:val="20"/>
              </w:rPr>
            </w:pPr>
          </w:p>
          <w:p w:rsidRPr="003F22AC" w:rsidR="003F22AC" w:rsidP="000C027C" w:rsidRDefault="003F22AC" w14:paraId="1364C69B" w14:textId="77777777">
            <w:pPr>
              <w:widowControl w:val="0"/>
              <w:rPr>
                <w:rFonts w:ascii="Arial" w:hAnsi="Arial" w:cs="Arial"/>
                <w:sz w:val="20"/>
                <w:szCs w:val="20"/>
              </w:rPr>
            </w:pPr>
            <w:r>
              <w:rPr>
                <w:rFonts w:ascii="Arial" w:hAnsi="Arial" w:cs="Arial"/>
                <w:sz w:val="20"/>
                <w:szCs w:val="20"/>
              </w:rPr>
              <w:t>Georgia Power Company</w:t>
            </w:r>
          </w:p>
          <w:p w:rsidRPr="003F22AC" w:rsidR="003F22AC" w:rsidP="000C027C" w:rsidRDefault="003F22AC" w14:paraId="1C23DF29" w14:textId="77777777">
            <w:pPr>
              <w:widowControl w:val="0"/>
              <w:rPr>
                <w:rFonts w:ascii="Arial" w:hAnsi="Arial" w:cs="Arial"/>
                <w:sz w:val="20"/>
                <w:szCs w:val="20"/>
              </w:rPr>
            </w:pPr>
            <w:proofErr w:type="gramStart"/>
            <w:r>
              <w:rPr>
                <w:rFonts w:ascii="Arial" w:hAnsi="Arial" w:cs="Arial"/>
                <w:sz w:val="20"/>
                <w:szCs w:val="20"/>
              </w:rPr>
              <w:t xml:space="preserve">Attention: </w:t>
            </w:r>
            <w:r>
              <w:rPr>
                <w:rFonts w:ascii="Arial" w:hAnsi="Arial" w:cs="Arial"/>
                <w:sz w:val="20"/>
                <w:szCs w:val="20"/>
                <w:highlight w:val="yellow"/>
              </w:rPr>
              <w:t>#</w:t>
            </w:r>
            <w:proofErr w:type="gramEnd"/>
            <w:r>
              <w:rPr>
                <w:rFonts w:ascii="Arial" w:hAnsi="Arial" w:cs="Arial"/>
                <w:sz w:val="20"/>
                <w:szCs w:val="20"/>
                <w:highlight w:val="yellow"/>
              </w:rPr>
              <w:t>GPCContact Name</w:t>
            </w:r>
          </w:p>
          <w:p w:rsidRPr="003F22AC" w:rsidR="003F22AC" w:rsidP="000C027C" w:rsidRDefault="003F22AC" w14:paraId="2734D9E0" w14:textId="77777777">
            <w:pPr>
              <w:widowControl w:val="0"/>
              <w:rPr>
                <w:rFonts w:ascii="Arial" w:hAnsi="Arial" w:cs="Arial"/>
                <w:sz w:val="20"/>
                <w:szCs w:val="20"/>
              </w:rPr>
            </w:pPr>
            <w:r>
              <w:rPr>
                <w:rFonts w:ascii="Arial" w:hAnsi="Arial" w:cs="Arial"/>
                <w:sz w:val="20"/>
                <w:szCs w:val="20"/>
              </w:rPr>
              <w:t>241 Ralph McGill Boulevard N.E.</w:t>
            </w:r>
          </w:p>
          <w:p w:rsidRPr="003F22AC" w:rsidR="003F22AC" w:rsidP="000C027C" w:rsidRDefault="003F22AC" w14:paraId="31971FC5" w14:textId="77777777">
            <w:pPr>
              <w:widowControl w:val="0"/>
              <w:rPr>
                <w:rFonts w:ascii="Arial" w:hAnsi="Arial" w:cs="Arial"/>
                <w:sz w:val="20"/>
                <w:szCs w:val="20"/>
              </w:rPr>
            </w:pPr>
            <w:r>
              <w:rPr>
                <w:rFonts w:ascii="Arial" w:hAnsi="Arial" w:cs="Arial"/>
                <w:sz w:val="20"/>
                <w:szCs w:val="20"/>
              </w:rPr>
              <w:t xml:space="preserve">BIN </w:t>
            </w:r>
            <w:r>
              <w:rPr>
                <w:rFonts w:ascii="Arial" w:hAnsi="Arial" w:cs="Arial"/>
                <w:sz w:val="20"/>
                <w:szCs w:val="20"/>
                <w:highlight w:val="yellow"/>
              </w:rPr>
              <w:t>#BinNumber#</w:t>
            </w:r>
          </w:p>
          <w:p w:rsidRPr="003F22AC" w:rsidR="003F22AC" w:rsidP="000C027C" w:rsidRDefault="003F22AC" w14:paraId="0DAAA7A7" w14:textId="77777777">
            <w:pPr>
              <w:widowControl w:val="0"/>
              <w:rPr>
                <w:rFonts w:ascii="Arial" w:hAnsi="Arial" w:cs="Arial"/>
                <w:sz w:val="20"/>
                <w:szCs w:val="20"/>
              </w:rPr>
            </w:pPr>
            <w:r>
              <w:rPr>
                <w:rFonts w:ascii="Arial" w:hAnsi="Arial" w:cs="Arial"/>
                <w:sz w:val="20"/>
                <w:szCs w:val="20"/>
              </w:rPr>
              <w:t>Atlanta, Georgia 30308</w:t>
            </w:r>
          </w:p>
          <w:p w:rsidRPr="003F22AC" w:rsidR="003F22AC" w:rsidP="000C027C" w:rsidRDefault="003F22AC" w14:paraId="66EE7866" w14:textId="77777777">
            <w:pPr>
              <w:widowControl w:val="0"/>
              <w:rPr>
                <w:rFonts w:ascii="Arial" w:hAnsi="Arial" w:cs="Arial"/>
                <w:sz w:val="20"/>
                <w:szCs w:val="20"/>
              </w:rPr>
            </w:pPr>
            <w:proofErr w:type="gramStart"/>
            <w:r>
              <w:rPr>
                <w:rFonts w:ascii="Arial" w:hAnsi="Arial" w:cs="Arial"/>
                <w:sz w:val="20"/>
                <w:szCs w:val="20"/>
              </w:rPr>
              <w:t xml:space="preserve">Email: </w:t>
            </w:r>
            <w:r>
              <w:rPr>
                <w:rFonts w:ascii="Arial" w:hAnsi="Arial" w:cs="Arial"/>
                <w:sz w:val="20"/>
                <w:szCs w:val="20"/>
                <w:highlight w:val="yellow"/>
              </w:rPr>
              <w:t>#</w:t>
            </w:r>
            <w:proofErr w:type="gramEnd"/>
            <w:r>
              <w:rPr>
                <w:rFonts w:ascii="Arial" w:hAnsi="Arial" w:cs="Arial"/>
                <w:sz w:val="20"/>
                <w:szCs w:val="20"/>
                <w:highlight w:val="yellow"/>
              </w:rPr>
              <w:t>GPCNoticeEmail</w:t>
            </w:r>
          </w:p>
          <w:p w:rsidRPr="003F22AC" w:rsidR="003F22AC" w:rsidP="000C027C" w:rsidRDefault="003F22AC" w14:paraId="658DCCE0" w14:textId="77777777">
            <w:pPr>
              <w:widowControl w:val="0"/>
              <w:rPr>
                <w:rFonts w:ascii="Arial" w:hAnsi="Arial" w:cs="Arial"/>
                <w:sz w:val="20"/>
                <w:szCs w:val="20"/>
              </w:rPr>
            </w:pPr>
          </w:p>
        </w:tc>
        <w:tc>
          <w:tcPr>
            <w:tcW w:w="4675" w:type="dxa"/>
          </w:tcPr>
          <w:p w:rsidRPr="003F22AC" w:rsidR="003F22AC" w:rsidP="000C027C" w:rsidRDefault="003F22AC" w14:paraId="0BF995D4" w14:textId="77777777">
            <w:pPr>
              <w:widowControl w:val="0"/>
              <w:rPr>
                <w:rFonts w:ascii="Arial" w:hAnsi="Arial" w:cs="Arial"/>
                <w:b/>
                <w:bCs/>
                <w:sz w:val="20"/>
                <w:szCs w:val="20"/>
              </w:rPr>
            </w:pPr>
            <w:r>
              <w:rPr>
                <w:rFonts w:ascii="Arial" w:hAnsi="Arial" w:cs="Arial"/>
                <w:b/>
                <w:bCs/>
                <w:sz w:val="20"/>
                <w:szCs w:val="20"/>
              </w:rPr>
              <w:t>With Copy to (which will not constitute Notice):</w:t>
            </w:r>
          </w:p>
          <w:p w:rsidRPr="003F22AC" w:rsidR="003F22AC" w:rsidP="000C027C" w:rsidRDefault="003F22AC" w14:paraId="00F5A170" w14:textId="77777777">
            <w:pPr>
              <w:widowControl w:val="0"/>
              <w:rPr>
                <w:rFonts w:ascii="Arial" w:hAnsi="Arial" w:cs="Arial"/>
                <w:sz w:val="20"/>
                <w:szCs w:val="20"/>
              </w:rPr>
            </w:pPr>
          </w:p>
          <w:p w:rsidRPr="003F22AC" w:rsidR="003F22AC" w:rsidP="000C027C" w:rsidRDefault="003F22AC" w14:paraId="6A3EFABC" w14:textId="77777777">
            <w:pPr>
              <w:widowControl w:val="0"/>
              <w:rPr>
                <w:rFonts w:ascii="Arial" w:hAnsi="Arial" w:cs="Arial"/>
                <w:sz w:val="20"/>
                <w:szCs w:val="20"/>
              </w:rPr>
            </w:pPr>
            <w:r>
              <w:rPr>
                <w:rFonts w:ascii="Arial" w:hAnsi="Arial" w:cs="Arial"/>
                <w:sz w:val="20"/>
                <w:szCs w:val="20"/>
              </w:rPr>
              <w:t>Georgia Power Company Legal Dept.</w:t>
            </w:r>
          </w:p>
          <w:p w:rsidRPr="003F22AC" w:rsidR="003F22AC" w:rsidP="000C027C" w:rsidRDefault="003F22AC" w14:paraId="0D25EF38" w14:textId="77777777">
            <w:pPr>
              <w:widowControl w:val="0"/>
              <w:rPr>
                <w:rFonts w:ascii="Arial" w:hAnsi="Arial" w:cs="Arial"/>
                <w:sz w:val="20"/>
                <w:szCs w:val="20"/>
              </w:rPr>
            </w:pPr>
            <w:r>
              <w:rPr>
                <w:rFonts w:ascii="Arial" w:hAnsi="Arial" w:cs="Arial"/>
                <w:sz w:val="20"/>
                <w:szCs w:val="20"/>
              </w:rPr>
              <w:t>Attn: Commercial &amp; Transactional Counsel</w:t>
            </w:r>
          </w:p>
          <w:p w:rsidRPr="003F22AC" w:rsidR="003F22AC" w:rsidP="000C027C" w:rsidRDefault="003F22AC" w14:paraId="0356EC06" w14:textId="77777777">
            <w:pPr>
              <w:widowControl w:val="0"/>
              <w:rPr>
                <w:rFonts w:ascii="Arial" w:hAnsi="Arial" w:cs="Arial"/>
                <w:sz w:val="20"/>
                <w:szCs w:val="20"/>
              </w:rPr>
            </w:pPr>
            <w:r>
              <w:rPr>
                <w:rFonts w:ascii="Arial" w:hAnsi="Arial" w:cs="Arial"/>
                <w:sz w:val="20"/>
                <w:szCs w:val="20"/>
              </w:rPr>
              <w:t>Bin 10180</w:t>
            </w:r>
          </w:p>
          <w:p w:rsidRPr="003F22AC" w:rsidR="003F22AC" w:rsidP="000C027C" w:rsidRDefault="003F22AC" w14:paraId="38A949E4" w14:textId="77777777">
            <w:pPr>
              <w:widowControl w:val="0"/>
              <w:rPr>
                <w:rFonts w:ascii="Arial" w:hAnsi="Arial" w:cs="Arial"/>
                <w:sz w:val="20"/>
                <w:szCs w:val="20"/>
              </w:rPr>
            </w:pPr>
            <w:r>
              <w:rPr>
                <w:rFonts w:ascii="Arial" w:hAnsi="Arial" w:cs="Arial"/>
                <w:sz w:val="20"/>
                <w:szCs w:val="20"/>
              </w:rPr>
              <w:t>241 Ralph McGill Blvd., N.E.</w:t>
            </w:r>
          </w:p>
          <w:p w:rsidRPr="003F22AC" w:rsidR="003F22AC" w:rsidP="000C027C" w:rsidRDefault="003F22AC" w14:paraId="51849402" w14:textId="77777777">
            <w:pPr>
              <w:widowControl w:val="0"/>
              <w:rPr>
                <w:rFonts w:ascii="Arial" w:hAnsi="Arial" w:cs="Arial"/>
                <w:sz w:val="20"/>
                <w:szCs w:val="20"/>
              </w:rPr>
            </w:pPr>
            <w:r>
              <w:rPr>
                <w:rFonts w:ascii="Arial" w:hAnsi="Arial" w:cs="Arial"/>
                <w:sz w:val="20"/>
                <w:szCs w:val="20"/>
              </w:rPr>
              <w:t>Atlanta, GA 30308</w:t>
            </w:r>
          </w:p>
        </w:tc>
      </w:tr>
    </w:tbl>
    <w:p w:rsidRPr="003F22AC" w:rsidR="003F22AC" w:rsidP="003F22AC" w:rsidRDefault="003F22AC" w14:paraId="3011F80C" w14:textId="77777777">
      <w:pPr>
        <w:widowControl w:val="0"/>
        <w:spacing w:after="0"/>
        <w:ind w:left="720"/>
        <w:rPr>
          <w:rFonts w:ascii="Arial" w:hAnsi="Arial" w:cs="Arial"/>
          <w:sz w:val="20"/>
          <w:szCs w:val="20"/>
        </w:rPr>
      </w:pPr>
    </w:p>
    <w:p w:rsidRPr="003F22AC" w:rsidR="003F22AC" w:rsidP="003F22AC" w:rsidRDefault="003F22AC" w14:paraId="3C65BFEC" w14:textId="77777777">
      <w:pPr>
        <w:widowControl w:val="0"/>
        <w:spacing w:after="0"/>
        <w:ind w:left="720"/>
        <w:rPr>
          <w:rFonts w:ascii="Arial" w:hAnsi="Arial" w:cs="Arial"/>
          <w:sz w:val="20"/>
          <w:szCs w:val="20"/>
        </w:rPr>
      </w:pPr>
    </w:p>
    <w:p w:rsidRPr="003F22AC" w:rsidR="003F22AC" w:rsidP="003F22AC" w:rsidRDefault="003F22AC" w14:paraId="2680993A" w14:textId="77777777">
      <w:pPr>
        <w:widowControl w:val="0"/>
        <w:spacing w:after="0"/>
        <w:ind w:left="720"/>
        <w:rPr>
          <w:rFonts w:ascii="Arial" w:hAnsi="Arial" w:cs="Arial"/>
          <w:sz w:val="20"/>
          <w:szCs w:val="20"/>
        </w:rPr>
      </w:pPr>
    </w:p>
    <w:tbl>
      <w:tblPr>
        <w:tblStyle w:val="TableGrid"/>
        <w:tblW w:w="0" w:type="auto"/>
        <w:tblLook w:val="04A0" w:firstRow="1" w:lastRow="0" w:firstColumn="1" w:lastColumn="0" w:noHBand="0" w:noVBand="1"/>
      </w:tblPr>
      <w:tblGrid>
        <w:gridCol w:w="4675"/>
        <w:gridCol w:w="4675"/>
      </w:tblGrid>
      <w:tr w:rsidRPr="003F22AC" w:rsidR="003F22AC" w:rsidTr="000C027C" w14:paraId="795596E4" w14:textId="77777777">
        <w:tc>
          <w:tcPr>
            <w:tcW w:w="4675" w:type="dxa"/>
          </w:tcPr>
          <w:p w:rsidRPr="003F22AC" w:rsidR="003F22AC" w:rsidP="000C027C" w:rsidRDefault="003F22AC" w14:paraId="2E830D67" w14:textId="77777777">
            <w:pPr>
              <w:widowControl w:val="0"/>
              <w:rPr>
                <w:rFonts w:ascii="Arial" w:hAnsi="Arial" w:cs="Arial"/>
                <w:b/>
                <w:bCs/>
                <w:sz w:val="20"/>
                <w:szCs w:val="20"/>
              </w:rPr>
            </w:pPr>
            <w:r>
              <w:rPr>
                <w:rFonts w:ascii="Arial" w:hAnsi="Arial" w:cs="Arial"/>
                <w:b/>
                <w:bCs/>
                <w:sz w:val="20"/>
                <w:szCs w:val="20"/>
              </w:rPr>
              <w:t>Notice to Seller:</w:t>
            </w:r>
          </w:p>
          <w:p w:rsidRPr="003F22AC" w:rsidR="003F22AC" w:rsidP="000C027C" w:rsidRDefault="003F22AC" w14:paraId="74A5FF42" w14:textId="77777777">
            <w:pPr>
              <w:widowControl w:val="0"/>
              <w:rPr>
                <w:rFonts w:ascii="Arial" w:hAnsi="Arial" w:cs="Arial"/>
                <w:b/>
                <w:bCs/>
                <w:sz w:val="20"/>
                <w:szCs w:val="20"/>
              </w:rPr>
            </w:pPr>
          </w:p>
          <w:p w:rsidRPr="003F22AC" w:rsidR="003F22AC" w:rsidP="000C027C" w:rsidRDefault="003F22AC" w14:paraId="1F3E74D3" w14:textId="77777777">
            <w:pPr>
              <w:widowControl w:val="0"/>
              <w:rPr>
                <w:rFonts w:ascii="Arial" w:hAnsi="Arial" w:cs="Arial"/>
                <w:sz w:val="20"/>
                <w:szCs w:val="20"/>
                <w:highlight w:val="yellow"/>
              </w:rPr>
            </w:pPr>
          </w:p>
          <w:p w:rsidRPr="003F22AC" w:rsidR="003F22AC" w:rsidP="000C027C" w:rsidRDefault="003F22AC" w14:paraId="3A148138" w14:textId="77777777">
            <w:pPr>
              <w:widowControl w:val="0"/>
              <w:rPr>
                <w:rFonts w:ascii="Arial" w:hAnsi="Arial" w:cs="Arial"/>
                <w:sz w:val="20"/>
                <w:szCs w:val="20"/>
              </w:rPr>
            </w:pPr>
            <w:r>
              <w:rPr>
                <w:rFonts w:ascii="Arial" w:hAnsi="Arial" w:cs="Arial"/>
                <w:sz w:val="20"/>
                <w:szCs w:val="20"/>
                <w:highlight w:val="yellow"/>
              </w:rPr>
              <w:t>#SellerLegalName#</w:t>
            </w:r>
          </w:p>
          <w:p w:rsidRPr="003F22AC" w:rsidR="003F22AC" w:rsidP="000C027C" w:rsidRDefault="003F22AC" w14:paraId="3FAE0E85" w14:textId="77777777">
            <w:pPr>
              <w:widowControl w:val="0"/>
              <w:rPr>
                <w:rFonts w:ascii="Arial" w:hAnsi="Arial" w:cs="Arial"/>
                <w:sz w:val="20"/>
                <w:szCs w:val="20"/>
              </w:rPr>
            </w:pPr>
            <w:proofErr w:type="gramStart"/>
            <w:r>
              <w:rPr>
                <w:rFonts w:ascii="Arial" w:hAnsi="Arial" w:cs="Arial"/>
                <w:sz w:val="20"/>
                <w:szCs w:val="20"/>
              </w:rPr>
              <w:t xml:space="preserve">Attention: </w:t>
            </w:r>
            <w:r>
              <w:rPr>
                <w:rFonts w:ascii="Arial" w:hAnsi="Arial" w:cs="Arial"/>
                <w:sz w:val="20"/>
                <w:szCs w:val="20"/>
                <w:highlight w:val="yellow"/>
              </w:rPr>
              <w:t>#</w:t>
            </w:r>
            <w:proofErr w:type="gramEnd"/>
            <w:r>
              <w:rPr>
                <w:rFonts w:ascii="Arial" w:hAnsi="Arial" w:cs="Arial"/>
                <w:sz w:val="20"/>
                <w:szCs w:val="20"/>
                <w:highlight w:val="yellow"/>
              </w:rPr>
              <w:t>SellerContactIndividualName#</w:t>
            </w:r>
          </w:p>
          <w:p w:rsidRPr="003F22AC" w:rsidR="003F22AC" w:rsidP="000C027C" w:rsidRDefault="003F22AC" w14:paraId="136FE19B" w14:textId="77777777">
            <w:pPr>
              <w:widowControl w:val="0"/>
              <w:rPr>
                <w:rFonts w:ascii="Arial" w:hAnsi="Arial" w:cs="Arial"/>
                <w:sz w:val="20"/>
                <w:szCs w:val="20"/>
                <w:highlight w:val="yellow"/>
              </w:rPr>
            </w:pPr>
            <w:r>
              <w:rPr>
                <w:rFonts w:ascii="Arial" w:hAnsi="Arial" w:cs="Arial"/>
                <w:sz w:val="20"/>
                <w:szCs w:val="20"/>
                <w:highlight w:val="yellow"/>
              </w:rPr>
              <w:t>#Title</w:t>
            </w:r>
          </w:p>
          <w:p w:rsidRPr="003F22AC" w:rsidR="003F22AC" w:rsidP="000C027C" w:rsidRDefault="003F22AC" w14:paraId="462EB041" w14:textId="77777777">
            <w:pPr>
              <w:widowControl w:val="0"/>
              <w:rPr>
                <w:rFonts w:ascii="Arial" w:hAnsi="Arial" w:cs="Arial"/>
                <w:sz w:val="20"/>
                <w:szCs w:val="20"/>
              </w:rPr>
            </w:pPr>
            <w:r>
              <w:rPr>
                <w:rFonts w:ascii="Arial" w:hAnsi="Arial" w:cs="Arial"/>
                <w:sz w:val="20"/>
                <w:szCs w:val="20"/>
                <w:highlight w:val="yellow"/>
              </w:rPr>
              <w:t>#SellerAddress</w:t>
            </w:r>
          </w:p>
          <w:p w:rsidRPr="003F22AC" w:rsidR="003F22AC" w:rsidP="000C027C" w:rsidRDefault="003F22AC" w14:paraId="082C8941" w14:textId="77777777">
            <w:pPr>
              <w:widowControl w:val="0"/>
              <w:rPr>
                <w:rFonts w:ascii="Arial" w:hAnsi="Arial" w:cs="Arial"/>
                <w:sz w:val="20"/>
                <w:szCs w:val="20"/>
              </w:rPr>
            </w:pPr>
            <w:r>
              <w:rPr>
                <w:rFonts w:ascii="Arial" w:hAnsi="Arial" w:cs="Arial"/>
                <w:sz w:val="20"/>
                <w:szCs w:val="20"/>
                <w:highlight w:val="yellow"/>
              </w:rPr>
              <w:t>#City</w:t>
            </w:r>
            <w:r>
              <w:rPr>
                <w:rFonts w:ascii="Arial" w:hAnsi="Arial" w:cs="Arial"/>
                <w:sz w:val="20"/>
                <w:szCs w:val="20"/>
              </w:rPr>
              <w:t xml:space="preserve">, </w:t>
            </w:r>
            <w:r>
              <w:rPr>
                <w:rFonts w:ascii="Arial" w:hAnsi="Arial" w:cs="Arial"/>
                <w:sz w:val="20"/>
                <w:szCs w:val="20"/>
                <w:highlight w:val="yellow"/>
              </w:rPr>
              <w:t>#State</w:t>
            </w:r>
            <w:r>
              <w:rPr>
                <w:rFonts w:ascii="Arial" w:hAnsi="Arial" w:cs="Arial"/>
                <w:sz w:val="20"/>
                <w:szCs w:val="20"/>
              </w:rPr>
              <w:t xml:space="preserve"> </w:t>
            </w:r>
            <w:r>
              <w:rPr>
                <w:rFonts w:ascii="Arial" w:hAnsi="Arial" w:cs="Arial"/>
                <w:sz w:val="20"/>
                <w:szCs w:val="20"/>
                <w:highlight w:val="yellow"/>
              </w:rPr>
              <w:t>#Zip</w:t>
            </w:r>
          </w:p>
          <w:p w:rsidRPr="003F22AC" w:rsidR="003F22AC" w:rsidP="000C027C" w:rsidRDefault="003F22AC" w14:paraId="2F9A3BB6" w14:textId="77777777">
            <w:pPr>
              <w:widowControl w:val="0"/>
              <w:rPr>
                <w:rFonts w:ascii="Arial" w:hAnsi="Arial" w:cs="Arial"/>
                <w:sz w:val="20"/>
                <w:szCs w:val="20"/>
              </w:rPr>
            </w:pPr>
            <w:proofErr w:type="gramStart"/>
            <w:r>
              <w:rPr>
                <w:rFonts w:ascii="Arial" w:hAnsi="Arial" w:cs="Arial"/>
                <w:sz w:val="20"/>
                <w:szCs w:val="20"/>
              </w:rPr>
              <w:t xml:space="preserve">Email: </w:t>
            </w:r>
            <w:r>
              <w:rPr>
                <w:rFonts w:ascii="Arial" w:hAnsi="Arial" w:cs="Arial"/>
                <w:sz w:val="20"/>
                <w:szCs w:val="20"/>
                <w:highlight w:val="yellow"/>
              </w:rPr>
              <w:t>#</w:t>
            </w:r>
            <w:proofErr w:type="gramEnd"/>
            <w:r>
              <w:rPr>
                <w:rFonts w:ascii="Arial" w:hAnsi="Arial" w:cs="Arial"/>
                <w:sz w:val="20"/>
                <w:szCs w:val="20"/>
                <w:highlight w:val="yellow"/>
              </w:rPr>
              <w:t>SellerContactEmail#</w:t>
            </w:r>
          </w:p>
          <w:p w:rsidRPr="003F22AC" w:rsidR="003F22AC" w:rsidP="000C027C" w:rsidRDefault="003F22AC" w14:paraId="4AF17854" w14:textId="77777777">
            <w:pPr>
              <w:widowControl w:val="0"/>
              <w:rPr>
                <w:rFonts w:ascii="Arial" w:hAnsi="Arial" w:cs="Arial"/>
                <w:sz w:val="20"/>
                <w:szCs w:val="20"/>
              </w:rPr>
            </w:pPr>
          </w:p>
        </w:tc>
        <w:tc>
          <w:tcPr>
            <w:tcW w:w="4675" w:type="dxa"/>
          </w:tcPr>
          <w:p w:rsidRPr="003F22AC" w:rsidR="003F22AC" w:rsidP="000C027C" w:rsidRDefault="003F22AC" w14:paraId="2CA205BC" w14:textId="77777777">
            <w:pPr>
              <w:widowControl w:val="0"/>
              <w:rPr>
                <w:rFonts w:ascii="Arial" w:hAnsi="Arial" w:cs="Arial"/>
                <w:b/>
                <w:bCs/>
                <w:sz w:val="20"/>
                <w:szCs w:val="20"/>
              </w:rPr>
            </w:pPr>
            <w:r>
              <w:rPr>
                <w:rFonts w:ascii="Arial" w:hAnsi="Arial" w:cs="Arial"/>
                <w:b/>
                <w:bCs/>
                <w:sz w:val="20"/>
                <w:szCs w:val="20"/>
              </w:rPr>
              <w:t>With Copy to (which will not constitute Notice):</w:t>
            </w:r>
          </w:p>
          <w:p w:rsidRPr="003F22AC" w:rsidR="003F22AC" w:rsidP="000C027C" w:rsidRDefault="003F22AC" w14:paraId="5EC2C141" w14:textId="77777777">
            <w:pPr>
              <w:widowControl w:val="0"/>
              <w:rPr>
                <w:rFonts w:ascii="Arial" w:hAnsi="Arial" w:cs="Arial"/>
                <w:b/>
                <w:bCs/>
                <w:sz w:val="20"/>
                <w:szCs w:val="20"/>
              </w:rPr>
            </w:pPr>
          </w:p>
          <w:p w:rsidRPr="003F22AC" w:rsidR="003F22AC" w:rsidP="000C027C" w:rsidRDefault="003F22AC" w14:paraId="707CD126" w14:textId="77777777">
            <w:pPr>
              <w:widowControl w:val="0"/>
              <w:rPr>
                <w:rFonts w:ascii="Arial" w:hAnsi="Arial" w:cs="Arial"/>
                <w:sz w:val="20"/>
                <w:szCs w:val="20"/>
              </w:rPr>
            </w:pPr>
            <w:r>
              <w:rPr>
                <w:rFonts w:ascii="Arial" w:hAnsi="Arial" w:cs="Arial"/>
                <w:sz w:val="20"/>
                <w:szCs w:val="20"/>
                <w:highlight w:val="yellow"/>
              </w:rPr>
              <w:t>#SellerLegalName#</w:t>
            </w:r>
          </w:p>
          <w:p w:rsidRPr="003F22AC" w:rsidR="003F22AC" w:rsidP="000C027C" w:rsidRDefault="003F22AC" w14:paraId="7F708647" w14:textId="77777777">
            <w:pPr>
              <w:widowControl w:val="0"/>
              <w:rPr>
                <w:rFonts w:ascii="Arial" w:hAnsi="Arial" w:cs="Arial"/>
                <w:sz w:val="20"/>
                <w:szCs w:val="20"/>
              </w:rPr>
            </w:pPr>
            <w:proofErr w:type="gramStart"/>
            <w:r>
              <w:rPr>
                <w:rFonts w:ascii="Arial" w:hAnsi="Arial" w:cs="Arial"/>
                <w:sz w:val="20"/>
                <w:szCs w:val="20"/>
              </w:rPr>
              <w:t xml:space="preserve">Attention: </w:t>
            </w:r>
            <w:r>
              <w:rPr>
                <w:rFonts w:ascii="Arial" w:hAnsi="Arial" w:cs="Arial"/>
                <w:sz w:val="20"/>
                <w:szCs w:val="20"/>
                <w:highlight w:val="yellow"/>
              </w:rPr>
              <w:t>#</w:t>
            </w:r>
            <w:proofErr w:type="gramEnd"/>
            <w:r>
              <w:rPr>
                <w:rFonts w:ascii="Arial" w:hAnsi="Arial" w:cs="Arial"/>
                <w:sz w:val="20"/>
                <w:szCs w:val="20"/>
                <w:highlight w:val="yellow"/>
              </w:rPr>
              <w:t>SellerContactIndividualName#</w:t>
            </w:r>
          </w:p>
          <w:p w:rsidRPr="003F22AC" w:rsidR="003F22AC" w:rsidP="000C027C" w:rsidRDefault="003F22AC" w14:paraId="1ADC4C27" w14:textId="77777777">
            <w:pPr>
              <w:widowControl w:val="0"/>
              <w:rPr>
                <w:rFonts w:ascii="Arial" w:hAnsi="Arial" w:cs="Arial"/>
                <w:sz w:val="20"/>
                <w:szCs w:val="20"/>
                <w:highlight w:val="yellow"/>
              </w:rPr>
            </w:pPr>
            <w:r>
              <w:rPr>
                <w:rFonts w:ascii="Arial" w:hAnsi="Arial" w:cs="Arial"/>
                <w:sz w:val="20"/>
                <w:szCs w:val="20"/>
                <w:highlight w:val="yellow"/>
              </w:rPr>
              <w:t>#Title</w:t>
            </w:r>
          </w:p>
          <w:p w:rsidRPr="003F22AC" w:rsidR="003F22AC" w:rsidP="000C027C" w:rsidRDefault="003F22AC" w14:paraId="10623F79" w14:textId="77777777">
            <w:pPr>
              <w:widowControl w:val="0"/>
              <w:rPr>
                <w:rFonts w:ascii="Arial" w:hAnsi="Arial" w:cs="Arial"/>
                <w:sz w:val="20"/>
                <w:szCs w:val="20"/>
              </w:rPr>
            </w:pPr>
            <w:r>
              <w:rPr>
                <w:rFonts w:ascii="Arial" w:hAnsi="Arial" w:cs="Arial"/>
                <w:sz w:val="20"/>
                <w:szCs w:val="20"/>
                <w:highlight w:val="yellow"/>
              </w:rPr>
              <w:t>#SellerAddress</w:t>
            </w:r>
          </w:p>
          <w:p w:rsidRPr="003F22AC" w:rsidR="003F22AC" w:rsidP="000C027C" w:rsidRDefault="003F22AC" w14:paraId="2429CD7D" w14:textId="77777777">
            <w:pPr>
              <w:widowControl w:val="0"/>
              <w:rPr>
                <w:rFonts w:ascii="Arial" w:hAnsi="Arial" w:cs="Arial"/>
                <w:sz w:val="20"/>
                <w:szCs w:val="20"/>
              </w:rPr>
            </w:pPr>
            <w:r>
              <w:rPr>
                <w:rFonts w:ascii="Arial" w:hAnsi="Arial" w:cs="Arial"/>
                <w:sz w:val="20"/>
                <w:szCs w:val="20"/>
                <w:highlight w:val="yellow"/>
              </w:rPr>
              <w:t>#City</w:t>
            </w:r>
            <w:r>
              <w:rPr>
                <w:rFonts w:ascii="Arial" w:hAnsi="Arial" w:cs="Arial"/>
                <w:sz w:val="20"/>
                <w:szCs w:val="20"/>
              </w:rPr>
              <w:t xml:space="preserve">, </w:t>
            </w:r>
            <w:r>
              <w:rPr>
                <w:rFonts w:ascii="Arial" w:hAnsi="Arial" w:cs="Arial"/>
                <w:sz w:val="20"/>
                <w:szCs w:val="20"/>
                <w:highlight w:val="yellow"/>
              </w:rPr>
              <w:t>#State</w:t>
            </w:r>
            <w:r>
              <w:rPr>
                <w:rFonts w:ascii="Arial" w:hAnsi="Arial" w:cs="Arial"/>
                <w:sz w:val="20"/>
                <w:szCs w:val="20"/>
              </w:rPr>
              <w:t xml:space="preserve"> </w:t>
            </w:r>
            <w:r>
              <w:rPr>
                <w:rFonts w:ascii="Arial" w:hAnsi="Arial" w:cs="Arial"/>
                <w:sz w:val="20"/>
                <w:szCs w:val="20"/>
                <w:highlight w:val="yellow"/>
              </w:rPr>
              <w:t>#Zip</w:t>
            </w:r>
          </w:p>
          <w:p w:rsidRPr="003F22AC" w:rsidR="003F22AC" w:rsidP="000C027C" w:rsidRDefault="003F22AC" w14:paraId="72BD07A7" w14:textId="77777777">
            <w:pPr>
              <w:widowControl w:val="0"/>
              <w:rPr>
                <w:rFonts w:ascii="Arial" w:hAnsi="Arial" w:cs="Arial"/>
                <w:sz w:val="20"/>
                <w:szCs w:val="20"/>
              </w:rPr>
            </w:pPr>
            <w:proofErr w:type="gramStart"/>
            <w:r>
              <w:rPr>
                <w:rFonts w:ascii="Arial" w:hAnsi="Arial" w:cs="Arial"/>
                <w:sz w:val="20"/>
                <w:szCs w:val="20"/>
              </w:rPr>
              <w:t xml:space="preserve">Email: </w:t>
            </w:r>
            <w:r>
              <w:rPr>
                <w:rFonts w:ascii="Arial" w:hAnsi="Arial" w:cs="Arial"/>
                <w:sz w:val="20"/>
                <w:szCs w:val="20"/>
                <w:highlight w:val="yellow"/>
              </w:rPr>
              <w:t>#</w:t>
            </w:r>
            <w:proofErr w:type="gramEnd"/>
            <w:r>
              <w:rPr>
                <w:rFonts w:ascii="Arial" w:hAnsi="Arial" w:cs="Arial"/>
                <w:sz w:val="20"/>
                <w:szCs w:val="20"/>
                <w:highlight w:val="yellow"/>
              </w:rPr>
              <w:t>SellerContactEmail#</w:t>
            </w:r>
          </w:p>
          <w:p w:rsidRPr="003F22AC" w:rsidR="003F22AC" w:rsidP="000C027C" w:rsidRDefault="003F22AC" w14:paraId="58DB8A4D" w14:textId="77777777">
            <w:pPr>
              <w:widowControl w:val="0"/>
              <w:rPr>
                <w:rFonts w:ascii="Arial" w:hAnsi="Arial" w:cs="Arial"/>
                <w:sz w:val="20"/>
                <w:szCs w:val="20"/>
              </w:rPr>
            </w:pPr>
          </w:p>
        </w:tc>
      </w:tr>
    </w:tbl>
    <w:p w:rsidRPr="003F22AC" w:rsidR="003F22AC" w:rsidP="003F22AC" w:rsidRDefault="003F22AC" w14:paraId="638AB0BF" w14:textId="77777777">
      <w:pPr>
        <w:pStyle w:val="zGNormal"/>
      </w:pPr>
    </w:p>
    <w:p w:rsidRPr="003F22AC" w:rsidR="003F22AC" w:rsidP="003F22AC" w:rsidRDefault="003F22AC" w14:paraId="5AAB7C68" w14:textId="77777777">
      <w:pPr>
        <w:pStyle w:val="zGNormal"/>
      </w:pPr>
    </w:p>
    <w:p w:rsidRPr="003F22AC" w:rsidR="00C415A5" w:rsidP="00B71D5E" w:rsidRDefault="00C415A5" w14:paraId="7FD086A2" w14:textId="77777777">
      <w:pPr>
        <w:spacing w:before="120" w:after="120" w:line="240" w:lineRule="auto"/>
        <w:rPr>
          <w:rFonts w:ascii="Arial" w:hAnsi="Arial" w:cs="Arial"/>
          <w:sz w:val="20"/>
          <w:szCs w:val="20"/>
        </w:rPr>
      </w:pPr>
    </w:p>
    <w:p w:rsidR="00482C82" w:rsidP="00B71D5E" w:rsidRDefault="00482C82" w14:paraId="7DC9E16B" w14:textId="77777777">
      <w:pPr>
        <w:spacing w:before="120" w:after="120" w:line="240" w:lineRule="auto"/>
        <w:rPr>
          <w:rFonts w:ascii="Arial" w:hAnsi="Arial" w:cs="Arial"/>
          <w:sz w:val="20"/>
          <w:szCs w:val="20"/>
        </w:rPr>
      </w:pPr>
    </w:p>
    <w:p w:rsidR="00482C82" w:rsidP="00B71D5E" w:rsidRDefault="00482C82" w14:paraId="44D9CDB7" w14:textId="77777777">
      <w:pPr>
        <w:spacing w:before="120" w:after="120" w:line="240" w:lineRule="auto"/>
        <w:rPr>
          <w:rFonts w:ascii="Arial" w:hAnsi="Arial" w:cs="Arial"/>
          <w:sz w:val="20"/>
          <w:szCs w:val="20"/>
        </w:rPr>
      </w:pPr>
    </w:p>
    <w:p w:rsidR="00482C82" w:rsidP="00B71D5E" w:rsidRDefault="00482C82" w14:paraId="72B5CB75" w14:textId="77777777">
      <w:pPr>
        <w:spacing w:before="120" w:after="120" w:line="240" w:lineRule="auto"/>
        <w:rPr>
          <w:rFonts w:ascii="Arial" w:hAnsi="Arial" w:cs="Arial"/>
          <w:sz w:val="20"/>
          <w:szCs w:val="20"/>
        </w:rPr>
      </w:pPr>
    </w:p>
    <w:p w:rsidR="00482C82" w:rsidP="00B71D5E" w:rsidRDefault="00482C82" w14:paraId="434B2983" w14:textId="77777777">
      <w:pPr>
        <w:spacing w:before="120" w:after="120" w:line="240" w:lineRule="auto"/>
        <w:rPr>
          <w:rFonts w:ascii="Arial" w:hAnsi="Arial" w:cs="Arial"/>
          <w:sz w:val="20"/>
          <w:szCs w:val="20"/>
        </w:rPr>
      </w:pPr>
    </w:p>
    <w:p w:rsidRPr="00B71D5E" w:rsidR="00D25573" w:rsidP="00B71D5E" w:rsidRDefault="00D25573" w14:paraId="3584508C" w14:textId="77777777">
      <w:pPr>
        <w:spacing w:before="120" w:after="120" w:line="240" w:lineRule="auto"/>
        <w:rPr>
          <w:rFonts w:ascii="Arial" w:hAnsi="Arial" w:cs="Arial"/>
          <w:sz w:val="20"/>
          <w:szCs w:val="20"/>
        </w:rPr>
      </w:pPr>
      <w:r>
        <w:rPr>
          <w:rFonts w:ascii="Arial" w:hAnsi="Arial" w:cs="Arial"/>
          <w:sz w:val="20"/>
          <w:szCs w:val="20"/>
        </w:rPr>
        <w:br w:type="page"/>
      </w:r>
    </w:p>
    <w:p w:rsidR="00482C82" w:rsidP="007A0FE2" w:rsidRDefault="00482C82" w14:paraId="6882E188" w14:textId="77777777">
      <w:pPr>
        <w:pStyle w:val="zGNormal"/>
        <w:sectPr w:rsidR="00482C82" w:rsidSect="00C11AB5">
          <w:headerReference w:type="even" r:id="rId28"/>
          <w:headerReference w:type="default" r:id="rId29"/>
          <w:footerReference w:type="even" r:id="rId30"/>
          <w:footerReference w:type="default" r:id="rId31"/>
          <w:headerReference w:type="first" r:id="rId32"/>
          <w:footerReference w:type="first" r:id="rId33"/>
          <w:pgSz w:w="12240" w:h="15840" w:code="1"/>
          <w:pgMar w:top="1080" w:right="1080" w:bottom="936" w:left="1224" w:header="432" w:footer="576" w:gutter="0"/>
          <w:cols w:space="720"/>
          <w:titlePg/>
          <w:docGrid w:linePitch="326"/>
        </w:sectPr>
      </w:pPr>
      <w:bookmarkStart w:name="_Toc141165791" w:id="581"/>
      <w:bookmarkStart w:name="_Toc141168032" w:id="582"/>
      <w:bookmarkStart w:name="_Toc143123981" w:id="583"/>
      <w:bookmarkStart w:name="_Toc143607296" w:id="584"/>
      <w:bookmarkStart w:name="_Toc143607310" w:id="585"/>
      <w:bookmarkStart w:name="_Hlk137629717" w:id="586"/>
      <w:bookmarkStart w:name="_Toc137409380" w:id="587"/>
      <w:bookmarkStart w:name="_Toc141168033" w:id="588"/>
      <w:bookmarkStart w:name="_Toc143123980" w:id="589"/>
    </w:p>
    <w:p w:rsidRPr="00B71D5E" w:rsidR="00B36EC7" w:rsidP="00B71D5E" w:rsidRDefault="00B36EC7" w14:paraId="00130BA8" w14:textId="77777777">
      <w:pPr>
        <w:pStyle w:val="zGTitleExhibit"/>
        <w:rPr>
          <w:rFonts w:eastAsia="Calibri" w:cs="Arial"/>
        </w:rPr>
      </w:pPr>
      <w:bookmarkStart w:name="_Toc181639514" w:id="590"/>
      <w:bookmarkStart w:name="_Toc214644834" w:id="591"/>
      <w:r>
        <w:rPr>
          <w:rFonts w:eastAsia="Calibri" w:cs="Arial"/>
        </w:rPr>
        <w:lastRenderedPageBreak/>
        <w:t>Exhibit B – Form of Standby Letter of Credit</w:t>
      </w:r>
      <w:bookmarkEnd w:id="581"/>
      <w:bookmarkEnd w:id="582"/>
      <w:bookmarkEnd w:id="583"/>
      <w:bookmarkEnd w:id="584"/>
      <w:bookmarkEnd w:id="585"/>
      <w:bookmarkEnd w:id="590"/>
      <w:bookmarkEnd w:id="591"/>
    </w:p>
    <w:p w:rsidRPr="00B71D5E" w:rsidR="00B36EC7" w:rsidP="00B71D5E" w:rsidRDefault="00B36EC7" w14:paraId="75B2D90F" w14:textId="77777777">
      <w:pPr>
        <w:pStyle w:val="zGTitle11"/>
        <w:spacing w:before="120" w:after="120"/>
        <w:rPr>
          <w:rFonts w:cs="Arial"/>
          <w:sz w:val="20"/>
        </w:rPr>
      </w:pPr>
      <w:proofErr w:type="gramStart"/>
      <w:r>
        <w:rPr>
          <w:rFonts w:cs="Arial"/>
          <w:sz w:val="20"/>
        </w:rPr>
        <w:t>Form of</w:t>
      </w:r>
      <w:proofErr w:type="gramEnd"/>
      <w:r>
        <w:rPr>
          <w:rFonts w:cs="Arial"/>
          <w:sz w:val="20"/>
        </w:rPr>
        <w:t xml:space="preserve"> Standby Letter of Credit</w:t>
      </w:r>
    </w:p>
    <w:p w:rsidRPr="00B71D5E" w:rsidR="00B36EC7" w:rsidP="00B71D5E" w:rsidRDefault="00B36EC7" w14:paraId="693E1B05" w14:textId="77777777">
      <w:pPr>
        <w:pStyle w:val="zGTitle11"/>
        <w:spacing w:before="120" w:after="120"/>
        <w:rPr>
          <w:rFonts w:cs="Arial"/>
          <w:sz w:val="20"/>
        </w:rPr>
      </w:pPr>
      <w:r>
        <w:rPr>
          <w:rFonts w:cs="Arial"/>
          <w:sz w:val="20"/>
          <w:highlight w:val="yellow"/>
        </w:rPr>
        <w:t>[Bank Letterhead]</w:t>
      </w:r>
    </w:p>
    <w:p w:rsidRPr="00B71D5E" w:rsidR="00B36EC7" w:rsidP="00B71D5E" w:rsidRDefault="00B36EC7" w14:paraId="0E9F7F23" w14:textId="77777777">
      <w:pPr>
        <w:pStyle w:val="zGTitle11"/>
        <w:spacing w:before="120" w:after="120"/>
        <w:rPr>
          <w:rFonts w:cs="Arial"/>
          <w:sz w:val="20"/>
        </w:rPr>
      </w:pPr>
      <w:r>
        <w:rPr>
          <w:rFonts w:cs="Arial"/>
          <w:sz w:val="20"/>
        </w:rPr>
        <w:t>Date of issuance:</w:t>
      </w:r>
      <w:r>
        <w:rPr>
          <w:rFonts w:cs="Arial"/>
          <w:sz w:val="20"/>
        </w:rPr>
        <w:tab/>
        <w:t>________, 20__</w:t>
      </w:r>
    </w:p>
    <w:p w:rsidRPr="00B71D5E" w:rsidR="00B36EC7" w:rsidP="00B71D5E" w:rsidRDefault="00B36EC7" w14:paraId="17DD1FE8" w14:textId="77777777">
      <w:pPr>
        <w:spacing w:before="120" w:after="120" w:line="240" w:lineRule="auto"/>
        <w:rPr>
          <w:rFonts w:ascii="Arial" w:hAnsi="Arial" w:cs="Arial"/>
          <w:sz w:val="20"/>
          <w:szCs w:val="20"/>
        </w:rPr>
      </w:pPr>
      <w:r>
        <w:rPr>
          <w:rFonts w:ascii="Arial" w:hAnsi="Arial" w:cs="Arial"/>
          <w:sz w:val="20"/>
          <w:szCs w:val="20"/>
        </w:rPr>
        <w:t>Irrevocable Standby Letter of Credit No.:_____________________</w:t>
      </w:r>
    </w:p>
    <w:p w:rsidRPr="00B71D5E" w:rsidR="00B36EC7" w:rsidP="00B71D5E" w:rsidRDefault="00B36EC7" w14:paraId="191DD7FB" w14:textId="77777777">
      <w:pPr>
        <w:spacing w:before="120" w:after="120" w:line="240" w:lineRule="auto"/>
        <w:rPr>
          <w:rFonts w:ascii="Arial" w:hAnsi="Arial" w:cs="Arial"/>
          <w:sz w:val="20"/>
          <w:szCs w:val="20"/>
        </w:rPr>
      </w:pPr>
      <w:r>
        <w:rPr>
          <w:rFonts w:ascii="Arial" w:hAnsi="Arial" w:cs="Arial"/>
          <w:sz w:val="20"/>
          <w:szCs w:val="20"/>
        </w:rPr>
        <w:t>“Issuer”:</w:t>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Pr="00B71D5E" w:rsidR="00B36EC7" w:rsidP="00B71D5E" w:rsidRDefault="00B36EC7" w14:paraId="28F383B7" w14:textId="77777777">
      <w:pPr>
        <w:spacing w:before="120" w:after="120" w:line="240" w:lineRule="auto"/>
        <w:rPr>
          <w:rFonts w:ascii="Arial" w:hAnsi="Arial" w:cs="Arial"/>
          <w:sz w:val="20"/>
          <w:szCs w:val="20"/>
          <w:u w:val="single"/>
        </w:rPr>
      </w:pPr>
      <w:r>
        <w:rPr>
          <w:rFonts w:ascii="Arial" w:hAnsi="Arial" w:cs="Arial"/>
          <w:sz w:val="20"/>
          <w:szCs w:val="20"/>
        </w:rPr>
        <w:t>Address:</w:t>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Pr="00415630" w:rsidR="00B36EC7" w:rsidP="00B71D5E" w:rsidRDefault="00B36EC7" w14:paraId="2110BA8E" w14:textId="77777777">
      <w:pPr>
        <w:spacing w:before="120" w:after="120" w:line="240" w:lineRule="auto"/>
        <w:rPr>
          <w:rFonts w:ascii="Arial" w:hAnsi="Arial" w:cs="Arial"/>
          <w:sz w:val="20"/>
          <w:szCs w:val="20"/>
        </w:rPr>
      </w:pPr>
      <w:r>
        <w:rPr>
          <w:rFonts w:ascii="Arial" w:hAnsi="Arial" w:cs="Arial"/>
          <w:sz w:val="20"/>
          <w:szCs w:val="20"/>
        </w:rPr>
        <w:t>“Beneficiary”:</w:t>
      </w:r>
      <w:r>
        <w:rPr>
          <w:rFonts w:ascii="Arial" w:hAnsi="Arial" w:cs="Arial"/>
          <w:sz w:val="20"/>
          <w:szCs w:val="20"/>
        </w:rPr>
        <w:tab/>
      </w:r>
      <w:r>
        <w:rPr>
          <w:rFonts w:ascii="Arial" w:hAnsi="Arial" w:cs="Arial"/>
          <w:sz w:val="20"/>
          <w:szCs w:val="20"/>
        </w:rPr>
        <w:tab/>
        <w:t>Georgia Power Company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Pr="00415630" w:rsidR="00A93AD2" w:rsidP="00B71D5E" w:rsidRDefault="00B36EC7" w14:paraId="19D1A079" w14:textId="77777777">
      <w:pPr>
        <w:spacing w:before="120" w:after="120" w:line="240" w:lineRule="auto"/>
        <w:rPr>
          <w:rFonts w:ascii="Arial" w:hAnsi="Arial" w:cs="Arial"/>
          <w:sz w:val="20"/>
          <w:szCs w:val="20"/>
        </w:rPr>
      </w:pPr>
      <w:r>
        <w:rPr>
          <w:rFonts w:ascii="Arial" w:hAnsi="Arial" w:cs="Arial"/>
          <w:sz w:val="20"/>
          <w:szCs w:val="20"/>
        </w:rPr>
        <w:t>Address:</w:t>
      </w:r>
      <w:r>
        <w:rPr>
          <w:rFonts w:ascii="Arial" w:hAnsi="Arial" w:cs="Arial"/>
          <w:sz w:val="20"/>
          <w:szCs w:val="20"/>
        </w:rPr>
        <w:tab/>
      </w:r>
      <w:r>
        <w:rPr>
          <w:rFonts w:ascii="Arial" w:hAnsi="Arial" w:cs="Arial"/>
          <w:sz w:val="20"/>
          <w:szCs w:val="20"/>
        </w:rPr>
        <w:tab/>
        <w:t>C/O Southern Company Services, Inc.</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t>Attn: Assistant Treasurer</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t>BIN SC 1407</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t>30 Ivan Allen Jr Blvd., NW</w:t>
      </w:r>
      <w:r>
        <w:rPr>
          <w:rFonts w:ascii="Arial" w:hAnsi="Arial" w:cs="Arial"/>
          <w:sz w:val="20"/>
          <w:szCs w:val="20"/>
        </w:rPr>
        <w:br/>
      </w:r>
      <w:r>
        <w:rPr>
          <w:rFonts w:ascii="Arial" w:hAnsi="Arial" w:cs="Arial"/>
          <w:sz w:val="20"/>
          <w:szCs w:val="20"/>
        </w:rPr>
        <w:tab/>
      </w:r>
      <w:r>
        <w:rPr>
          <w:rFonts w:ascii="Arial" w:hAnsi="Arial" w:cs="Arial"/>
          <w:sz w:val="20"/>
          <w:szCs w:val="20"/>
        </w:rPr>
        <w:tab/>
      </w:r>
      <w:r>
        <w:rPr>
          <w:rFonts w:ascii="Arial" w:hAnsi="Arial" w:cs="Arial"/>
          <w:sz w:val="20"/>
          <w:szCs w:val="20"/>
        </w:rPr>
        <w:tab/>
        <w:t>Atlanta, GA 30308</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Pr="00A93AD2" w:rsidR="00A93AD2" w:rsidP="00B71D5E" w:rsidRDefault="00A93AD2" w14:paraId="70AE401E" w14:textId="5AEE0B21">
      <w:pPr>
        <w:spacing w:before="120" w:after="120" w:line="240" w:lineRule="auto"/>
        <w:rPr>
          <w:rFonts w:ascii="Arial" w:hAnsi="Arial" w:cs="Arial"/>
          <w:sz w:val="20"/>
          <w:szCs w:val="20"/>
        </w:rPr>
      </w:pPr>
      <w:r>
        <w:rPr>
          <w:rFonts w:ascii="Arial" w:hAnsi="Arial" w:cs="Arial"/>
          <w:sz w:val="20"/>
          <w:szCs w:val="20"/>
        </w:rPr>
        <w:t>Program ID:</w:t>
      </w:r>
      <w:r>
        <w:rPr>
          <w:rFonts w:ascii="Arial" w:hAnsi="Arial" w:cs="Arial"/>
          <w:sz w:val="20"/>
          <w:szCs w:val="20"/>
        </w:rPr>
        <w:tab/>
      </w:r>
      <w:r>
        <w:rPr>
          <w:rFonts w:ascii="Arial" w:hAnsi="Arial" w:cs="Arial"/>
          <w:sz w:val="20"/>
          <w:szCs w:val="20"/>
        </w:rPr>
        <w:tab/>
        <w:t>2032–2033 All-Source Capacity RFP</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Pr="00B71D5E" w:rsidR="00B36EC7" w:rsidP="00B71D5E" w:rsidRDefault="00B36EC7" w14:paraId="67DEA16D" w14:textId="77777777">
      <w:pPr>
        <w:spacing w:before="120" w:after="120" w:line="240" w:lineRule="auto"/>
        <w:rPr>
          <w:rFonts w:ascii="Arial" w:hAnsi="Arial" w:cs="Arial"/>
          <w:sz w:val="20"/>
          <w:szCs w:val="20"/>
          <w:u w:val="single"/>
        </w:rPr>
      </w:pPr>
      <w:r>
        <w:rPr>
          <w:rFonts w:ascii="Arial" w:hAnsi="Arial" w:cs="Arial"/>
          <w:sz w:val="20"/>
          <w:szCs w:val="20"/>
        </w:rPr>
        <w:t>“Account Party”:</w:t>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Pr="00B71D5E" w:rsidR="00B36EC7" w:rsidP="00B71D5E" w:rsidRDefault="00B36EC7" w14:paraId="62E3CD67" w14:textId="77777777">
      <w:pPr>
        <w:spacing w:before="120" w:after="120" w:line="240" w:lineRule="auto"/>
        <w:rPr>
          <w:rFonts w:ascii="Arial" w:hAnsi="Arial" w:cs="Arial"/>
          <w:sz w:val="20"/>
          <w:szCs w:val="20"/>
        </w:rPr>
      </w:pPr>
      <w:r>
        <w:rPr>
          <w:rFonts w:ascii="Arial" w:hAnsi="Arial" w:cs="Arial"/>
          <w:sz w:val="20"/>
          <w:szCs w:val="20"/>
        </w:rPr>
        <w:t>Address:</w:t>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Pr="00B71D5E" w:rsidR="00B36EC7" w:rsidP="00B71D5E" w:rsidRDefault="00B36EC7" w14:paraId="584BDD74" w14:textId="77777777">
      <w:pPr>
        <w:spacing w:before="120" w:after="120" w:line="240" w:lineRule="auto"/>
        <w:ind w:left="2160" w:hanging="2160"/>
        <w:rPr>
          <w:rFonts w:ascii="Arial" w:hAnsi="Arial" w:cs="Arial"/>
          <w:sz w:val="20"/>
          <w:szCs w:val="20"/>
        </w:rPr>
      </w:pPr>
      <w:r>
        <w:rPr>
          <w:rFonts w:ascii="Arial" w:hAnsi="Arial" w:cs="Arial"/>
          <w:sz w:val="20"/>
          <w:szCs w:val="20"/>
        </w:rPr>
        <w:t>“Expiry Date”:</w:t>
      </w:r>
      <w:r>
        <w:rPr>
          <w:rFonts w:ascii="Arial" w:hAnsi="Arial" w:cs="Arial"/>
          <w:sz w:val="20"/>
          <w:szCs w:val="20"/>
        </w:rPr>
        <w:tab/>
        <w:t xml:space="preserve">______________, 20__, and any automatically extended date, as provided in this Standby Letter of Credit </w:t>
      </w:r>
      <w:r>
        <w:rPr>
          <w:rFonts w:ascii="Arial" w:hAnsi="Arial" w:cs="Arial"/>
          <w:sz w:val="20"/>
          <w:szCs w:val="20"/>
          <w:highlight w:val="yellow"/>
        </w:rPr>
        <w:t>[(but in no event later than _____________, 20__)]</w:t>
      </w:r>
    </w:p>
    <w:p w:rsidRPr="00B71D5E" w:rsidR="00B36EC7" w:rsidP="00B71D5E" w:rsidRDefault="00B36EC7" w14:paraId="717BA0B3" w14:textId="77777777">
      <w:pPr>
        <w:spacing w:before="120" w:after="120" w:line="240" w:lineRule="auto"/>
        <w:rPr>
          <w:rFonts w:ascii="Arial" w:hAnsi="Arial" w:cs="Arial"/>
          <w:sz w:val="20"/>
          <w:szCs w:val="20"/>
        </w:rPr>
      </w:pPr>
      <w:r>
        <w:rPr>
          <w:rFonts w:ascii="Arial" w:hAnsi="Arial" w:cs="Arial"/>
          <w:sz w:val="20"/>
          <w:szCs w:val="20"/>
        </w:rPr>
        <w:t>“Total Amount”:</w:t>
      </w:r>
      <w:r>
        <w:rPr>
          <w:rFonts w:ascii="Arial" w:hAnsi="Arial" w:cs="Arial"/>
          <w:sz w:val="20"/>
          <w:szCs w:val="20"/>
        </w:rPr>
        <w:tab/>
      </w:r>
      <w:r>
        <w:rPr>
          <w:rFonts w:ascii="Arial" w:hAnsi="Arial" w:cs="Arial"/>
          <w:sz w:val="20"/>
          <w:szCs w:val="20"/>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t xml:space="preserve"> </w:t>
      </w:r>
      <w:r>
        <w:rPr>
          <w:rFonts w:ascii="Arial" w:hAnsi="Arial" w:cs="Arial"/>
          <w:sz w:val="20"/>
          <w:szCs w:val="20"/>
        </w:rPr>
        <w:t>United States Dollars (U.S. $_____________)</w:t>
      </w:r>
    </w:p>
    <w:p w:rsidRPr="00B71D5E" w:rsidR="00B36EC7" w:rsidP="00B71D5E" w:rsidRDefault="00B36EC7" w14:paraId="2ED0F302" w14:textId="77777777">
      <w:pPr>
        <w:pStyle w:val="zGNormal6"/>
        <w:ind w:firstLine="720"/>
      </w:pPr>
      <w:r>
        <w:t>We, the Issuer, establish in your favor, for the account of the Account Party, our irrevocable standby letter of credit (“</w:t>
      </w:r>
      <w:r>
        <w:rPr>
          <w:b/>
        </w:rPr>
        <w:t>Standby Letter of Credit</w:t>
      </w:r>
      <w:r>
        <w:t>”), in the aggregate amount not exceeding the Total Amount.</w:t>
      </w:r>
    </w:p>
    <w:p w:rsidRPr="00B71D5E" w:rsidR="00B36EC7" w:rsidP="00B71D5E" w:rsidRDefault="00B36EC7" w14:paraId="2107507F" w14:textId="77777777">
      <w:pPr>
        <w:pStyle w:val="zGNormal6"/>
        <w:ind w:firstLine="720"/>
      </w:pPr>
      <w:bookmarkStart w:name="_DV_M766" w:id="592"/>
      <w:bookmarkEnd w:id="592"/>
      <w:r>
        <w:t>Funds under this Standby Letter of Credit are available to you on or before the Expiry Date by presentation of your demand signed by one of your officers or authorized representatives, and delivered to us in substantially the form attached as Annex 1 (</w:t>
      </w:r>
      <w:r>
        <w:rPr>
          <w:i/>
        </w:rPr>
        <w:t>Form of Sight Draft</w:t>
      </w:r>
      <w:r>
        <w:t>) and referring thereon to the number and date of this Standby Letter of Credit, accompanied by a written and completed certificate signed by a person purporting to be one of your officers or authorized representatives, in the form attached as Annex 2 (</w:t>
      </w:r>
      <w:r>
        <w:rPr>
          <w:i/>
        </w:rPr>
        <w:t>Form of Certificate</w:t>
      </w:r>
      <w:r>
        <w:t>), with appropriate insertions.</w:t>
      </w:r>
    </w:p>
    <w:p w:rsidRPr="00B71D5E" w:rsidR="00B36EC7" w:rsidP="00B71D5E" w:rsidRDefault="00B36EC7" w14:paraId="30A7D787" w14:textId="54DB70EE">
      <w:pPr>
        <w:pStyle w:val="zGNormal6"/>
        <w:ind w:firstLine="720"/>
      </w:pPr>
      <w:bookmarkStart w:name="_DV_M767" w:id="593"/>
      <w:bookmarkEnd w:id="593"/>
      <w:r>
        <w:t xml:space="preserve">This Standby Letter of Credit is effective immediately and expires at 5:00 p.m. (Eastern Time) on the Expiry Date. It is a condition of this Standby Letter of Credit that the Expiry Date will be deemed automatically extended without amendment for a period of one year from the present or any future Expiry Date, unless we notify you not less than 90 days </w:t>
      </w:r>
      <w:r w:rsidR="001C0BA0">
        <w:t>before</w:t>
      </w:r>
      <w:r>
        <w:t xml:space="preserve"> any applicable date, in accordance with the notice provisions set forth in this Standby Letter of Credit, that we have elected not to extend the Expiry Date for the additional period. </w:t>
      </w:r>
    </w:p>
    <w:p w:rsidRPr="00B71D5E" w:rsidR="00B36EC7" w:rsidP="00B71D5E" w:rsidRDefault="00B36EC7" w14:paraId="32042325" w14:textId="453D28BC">
      <w:pPr>
        <w:pStyle w:val="zGNormal6"/>
        <w:ind w:firstLine="720"/>
      </w:pPr>
      <w:bookmarkStart w:name="_DV_M768" w:id="594"/>
      <w:bookmarkEnd w:id="594"/>
      <w:r>
        <w:t xml:space="preserve">Delivery of demands and certificates will be made on any day that is a business day for us at or </w:t>
      </w:r>
      <w:r w:rsidR="001C0BA0">
        <w:t>before</w:t>
      </w:r>
      <w:r>
        <w:t xml:space="preserve"> 5:00 p.m. (Eastern Time) at our office located at __________, or at any other office in the United States of America that is designated by us in a written notice delivered to you. If the demand and the certificate are received at any office on or </w:t>
      </w:r>
      <w:r w:rsidR="001C0BA0">
        <w:t>before</w:t>
      </w:r>
      <w:r>
        <w:t xml:space="preserve"> the Expiry Date, we agree with you that we will duly honor the same within three business days after presentation. Notwithstanding the foregoing, you may demand payment under this Standby Letter of Credit by facsimile or electronic transmission when promptly confirmed by written demand; however, actual disbursement of funds under a demand presented by facsimile or electronic transmission may not occur until we are presented with the original Standby Letter of Credit.</w:t>
      </w:r>
    </w:p>
    <w:p w:rsidRPr="00B71D5E" w:rsidR="00B36EC7" w:rsidP="00B71D5E" w:rsidRDefault="00B36EC7" w14:paraId="63C518C2" w14:textId="77777777">
      <w:pPr>
        <w:pStyle w:val="zGNormal6"/>
        <w:ind w:firstLine="720"/>
      </w:pPr>
      <w:bookmarkStart w:name="_DV_M769" w:id="595"/>
      <w:bookmarkEnd w:id="595"/>
      <w:r>
        <w:t xml:space="preserve">Partial drawings and multiple presentations may be made under this Standby Letter of Credit, and each demand that is paid by us will reduce the amount available under this Standby Letter of Credit. </w:t>
      </w:r>
    </w:p>
    <w:p w:rsidRPr="00B71D5E" w:rsidR="00B36EC7" w:rsidP="00B71D5E" w:rsidRDefault="00B36EC7" w14:paraId="1B53ADE9" w14:textId="77777777">
      <w:pPr>
        <w:pStyle w:val="zGNormal6"/>
        <w:ind w:firstLine="720"/>
      </w:pPr>
      <w:bookmarkStart w:name="_DV_M770" w:id="596"/>
      <w:bookmarkEnd w:id="596"/>
      <w:r>
        <w:t xml:space="preserve">Except as is expressly set forth in this Standby Letter of Credit, payment of demands made under this Standby Letter of Credit is not subject to any agreement, condition, or qualification. The obligation of the Issuer under this Standby Letter of Credit is the individual obligation of the Issuer and is in no manner contingent upon reimbursement with respect thereto. </w:t>
      </w:r>
    </w:p>
    <w:p w:rsidRPr="00B71D5E" w:rsidR="00B36EC7" w:rsidP="00B71D5E" w:rsidRDefault="00B36EC7" w14:paraId="7443788B" w14:textId="77777777">
      <w:pPr>
        <w:pStyle w:val="zGNormal6"/>
        <w:ind w:firstLine="720"/>
      </w:pPr>
      <w:bookmarkStart w:name="_DV_M771" w:id="597"/>
      <w:bookmarkEnd w:id="597"/>
      <w:r>
        <w:t>Funds available for drawing under this Standby Letter of Credit may not directly or indirectly constitute funds or collateral deposited with the Beneficiary, or for the Issuer’s account by the Account Party, or pledged with or for the Issuer’s account by the Account Party.</w:t>
      </w:r>
    </w:p>
    <w:p w:rsidRPr="00B71D5E" w:rsidR="00B36EC7" w:rsidP="00B71D5E" w:rsidRDefault="00B36EC7" w14:paraId="5B744F7A" w14:textId="77777777">
      <w:pPr>
        <w:pStyle w:val="zGNormal6"/>
        <w:ind w:firstLine="720"/>
      </w:pPr>
      <w:bookmarkStart w:name="_DV_M772" w:id="598"/>
      <w:bookmarkEnd w:id="598"/>
      <w:r>
        <w:lastRenderedPageBreak/>
        <w:t xml:space="preserve">This Standby Letter of Credit is transferable and can be successively transferred to any transferee that Beneficiary states in writing to us has succeeded Beneficiary under this Letter of Credit, so long as, the transfer to the transferee </w:t>
      </w:r>
      <w:proofErr w:type="gramStart"/>
      <w:r>
        <w:t>is in compliance with</w:t>
      </w:r>
      <w:proofErr w:type="gramEnd"/>
      <w:r>
        <w:t xml:space="preserve"> applicable U.S. Laws and regulations. Transfer of this Standby Letter of Credit to any transferee will be </w:t>
      </w:r>
      <w:proofErr w:type="gramStart"/>
      <w:r>
        <w:t>effected</w:t>
      </w:r>
      <w:proofErr w:type="gramEnd"/>
      <w:r>
        <w:t xml:space="preserve"> by the presentation to us of this Standby Letter of Credit accompanied by a certificate in the form attached as Annex 3 (</w:t>
      </w:r>
      <w:r>
        <w:rPr>
          <w:i/>
        </w:rPr>
        <w:t>Form of Instruction to Assign in Entirety</w:t>
      </w:r>
      <w:r>
        <w:t xml:space="preserve">), with appropriate insertions, signed by a person purporting to be an officer or authorized representative of the Beneficiary. </w:t>
      </w:r>
      <w:proofErr w:type="gramStart"/>
      <w:r>
        <w:t>Upon</w:t>
      </w:r>
      <w:proofErr w:type="gramEnd"/>
      <w:r>
        <w:t xml:space="preserve"> presentation, we will immediately issue an irrevocable letter of credit to transferee with provisions consistent with this Standby Letter of Credit.</w:t>
      </w:r>
    </w:p>
    <w:p w:rsidRPr="00B71D5E" w:rsidR="00B36EC7" w:rsidP="00B71D5E" w:rsidRDefault="00B36EC7" w14:paraId="1819D337" w14:textId="223AD158">
      <w:pPr>
        <w:pStyle w:val="zGNormal6"/>
        <w:ind w:firstLine="720"/>
      </w:pPr>
      <w:bookmarkStart w:name="_DV_M773" w:id="599"/>
      <w:bookmarkEnd w:id="599"/>
      <w:r>
        <w:t xml:space="preserve">We will not modify, revoke, or terminate this Standby Letter of Credit without your written consent. This Standby Letter of Credit sets forth in full the terms of our undertaking, and the undertaking may not be modified, annulled, or amplified by reference to any other document, instrument, or agreement referred to in this Standby Letter of Credit or in which the Standby Letter of Credit is referred or to which the Standby Letter of Credit relates, and any reference may not be deemed to incorporate </w:t>
      </w:r>
      <w:r w:rsidR="00BF2C15">
        <w:t>in this Standby Letter of Credit</w:t>
      </w:r>
      <w:r>
        <w:t xml:space="preserve"> by reference any document, instrument, or agreement. </w:t>
      </w:r>
    </w:p>
    <w:p w:rsidRPr="00B71D5E" w:rsidR="00B36EC7" w:rsidP="00B71D5E" w:rsidRDefault="00B36EC7" w14:paraId="31C89AEE" w14:textId="77777777">
      <w:pPr>
        <w:pStyle w:val="zGNormal6"/>
        <w:ind w:firstLine="720"/>
      </w:pPr>
      <w:bookmarkStart w:name="_DV_M774" w:id="600"/>
      <w:bookmarkEnd w:id="600"/>
      <w:r>
        <w:t>To the extent not contrary to the express terms of this Standby Letter of Credit, this Standby Letter of Credit will be governed by the International Standby Practices (“</w:t>
      </w:r>
      <w:r>
        <w:rPr>
          <w:b/>
        </w:rPr>
        <w:t>ISP98</w:t>
      </w:r>
      <w:r>
        <w:t>”). This Standby Letter of Credit will be deemed to be a contract made under the Laws of the state of Georgia, and will, as to matters not governed by the ISP98, be governed by, and construed in accordance with the Laws of the state of Georgia.</w:t>
      </w:r>
    </w:p>
    <w:p w:rsidRPr="00B71D5E" w:rsidR="00B36EC7" w:rsidP="00B71D5E" w:rsidRDefault="00B36EC7" w14:paraId="77EC6DE8" w14:textId="77777777">
      <w:pPr>
        <w:pStyle w:val="zGNormal6"/>
        <w:ind w:firstLine="720"/>
      </w:pPr>
      <w:bookmarkStart w:name="_DV_M775" w:id="601"/>
      <w:bookmarkEnd w:id="601"/>
      <w:r>
        <w:t>Notices concerning this Standby Letter of Credit may be sent to a party by courier, certified mail, registered mail, facsimile, electronic transmission, or similar communications facility to its respective address set forth in this Standby Letter of Credit. Any notice, demand, request, or other communication is deemed to have been received by the party to whom it is sent at the time of its delivery. Each party may notify the other of any change of address in the manner provided above.</w:t>
      </w:r>
    </w:p>
    <w:p w:rsidRPr="00B71D5E" w:rsidR="00B36EC7" w:rsidP="00B71D5E" w:rsidRDefault="00B36EC7" w14:paraId="44414821" w14:textId="77777777">
      <w:pPr>
        <w:pStyle w:val="zGNormal6"/>
        <w:ind w:firstLine="720"/>
      </w:pPr>
    </w:p>
    <w:tbl>
      <w:tblPr>
        <w:tblW w:w="9936" w:type="dxa"/>
        <w:tblLayout w:type="fixed"/>
        <w:tblCellMar>
          <w:left w:w="29" w:type="dxa"/>
          <w:right w:w="29" w:type="dxa"/>
        </w:tblCellMar>
        <w:tblLook w:val="01E0" w:firstRow="1" w:lastRow="1" w:firstColumn="1" w:lastColumn="1" w:noHBand="0" w:noVBand="0"/>
      </w:tblPr>
      <w:tblGrid>
        <w:gridCol w:w="9936"/>
      </w:tblGrid>
      <w:tr w:rsidRPr="00B71D5E" w:rsidR="00B36EC7" w14:paraId="0EFB8D2D" w14:textId="77777777">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Pr="00B71D5E" w:rsidR="00B36EC7" w14:paraId="16515C23" w14:textId="77777777">
              <w:trPr>
                <w:trHeight w:val="432"/>
                <w:jc w:val="right"/>
              </w:trPr>
              <w:tc>
                <w:tcPr>
                  <w:tcW w:w="4907" w:type="dxa"/>
                  <w:gridSpan w:val="2"/>
                  <w:tcMar>
                    <w:top w:w="0" w:type="dxa"/>
                    <w:left w:w="29" w:type="dxa"/>
                    <w:bottom w:w="0" w:type="dxa"/>
                    <w:right w:w="29" w:type="dxa"/>
                  </w:tcMar>
                </w:tcPr>
                <w:p w:rsidRPr="00B71D5E" w:rsidR="00B36EC7" w:rsidP="00B71D5E" w:rsidRDefault="00B36EC7" w14:paraId="1778F4BB" w14:textId="77777777">
                  <w:pPr>
                    <w:keepNext/>
                    <w:spacing w:before="120" w:after="120" w:line="240" w:lineRule="auto"/>
                    <w:rPr>
                      <w:rFonts w:ascii="Arial" w:hAnsi="Arial" w:cs="Arial"/>
                      <w:b/>
                      <w:sz w:val="20"/>
                      <w:szCs w:val="20"/>
                      <w:highlight w:val="yellow"/>
                    </w:rPr>
                  </w:pPr>
                  <w:r>
                    <w:rPr>
                      <w:rFonts w:ascii="Arial" w:hAnsi="Arial" w:cs="Arial"/>
                      <w:b/>
                      <w:sz w:val="20"/>
                      <w:szCs w:val="20"/>
                      <w:highlight w:val="yellow"/>
                    </w:rPr>
                    <w:t>[ISSUING BANK]</w:t>
                  </w:r>
                </w:p>
              </w:tc>
            </w:tr>
            <w:tr w:rsidRPr="00B71D5E" w:rsidR="000326E0" w:rsidTr="00360C3B" w14:paraId="0837C335" w14:textId="77777777">
              <w:trPr>
                <w:trHeight w:val="432"/>
                <w:jc w:val="right"/>
              </w:trPr>
              <w:tc>
                <w:tcPr>
                  <w:tcW w:w="700" w:type="dxa"/>
                  <w:tcMar>
                    <w:top w:w="0" w:type="dxa"/>
                    <w:left w:w="29" w:type="dxa"/>
                    <w:bottom w:w="0" w:type="dxa"/>
                    <w:right w:w="29" w:type="dxa"/>
                  </w:tcMar>
                  <w:vAlign w:val="bottom"/>
                </w:tcPr>
                <w:p w:rsidRPr="00B71D5E" w:rsidR="000326E0" w:rsidP="00B71D5E" w:rsidRDefault="000326E0" w14:paraId="4A487904"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bottom w:val="single" w:color="auto" w:sz="4" w:space="0"/>
                  </w:tcBorders>
                  <w:tcMar>
                    <w:top w:w="0" w:type="dxa"/>
                    <w:left w:w="29" w:type="dxa"/>
                    <w:bottom w:w="0" w:type="dxa"/>
                    <w:right w:w="29" w:type="dxa"/>
                  </w:tcMar>
                  <w:vAlign w:val="bottom"/>
                </w:tcPr>
                <w:p w:rsidRPr="00B71D5E" w:rsidR="000326E0" w:rsidP="00B71D5E" w:rsidRDefault="000326E0" w14:paraId="5957612C" w14:textId="77777777">
                  <w:pPr>
                    <w:spacing w:before="120" w:after="120" w:line="240" w:lineRule="auto"/>
                    <w:jc w:val="right"/>
                    <w:rPr>
                      <w:rFonts w:ascii="Arial" w:hAnsi="Arial" w:cs="Arial"/>
                      <w:b/>
                      <w:sz w:val="20"/>
                      <w:szCs w:val="20"/>
                      <w:u w:val="single"/>
                    </w:rPr>
                  </w:pPr>
                </w:p>
              </w:tc>
            </w:tr>
            <w:tr w:rsidRPr="00B71D5E" w:rsidR="000326E0" w:rsidTr="00360C3B" w14:paraId="7CD6B4DF" w14:textId="77777777">
              <w:trPr>
                <w:jc w:val="right"/>
              </w:trPr>
              <w:tc>
                <w:tcPr>
                  <w:tcW w:w="700" w:type="dxa"/>
                  <w:tcMar>
                    <w:top w:w="0" w:type="dxa"/>
                    <w:left w:w="29" w:type="dxa"/>
                    <w:bottom w:w="0" w:type="dxa"/>
                    <w:right w:w="29" w:type="dxa"/>
                  </w:tcMar>
                  <w:vAlign w:val="bottom"/>
                </w:tcPr>
                <w:p w:rsidRPr="00B71D5E" w:rsidR="000326E0" w:rsidP="00B71D5E" w:rsidRDefault="000326E0" w14:paraId="5E488325" w14:textId="77777777">
                  <w:pPr>
                    <w:spacing w:before="120" w:after="120" w:line="240" w:lineRule="auto"/>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0326E0" w:rsidP="00B71D5E" w:rsidRDefault="000326E0" w14:paraId="1EDC19CE"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#Name#</w:t>
                  </w:r>
                </w:p>
              </w:tc>
            </w:tr>
            <w:tr w:rsidRPr="00B71D5E" w:rsidR="000326E0" w:rsidTr="00026F29" w14:paraId="74FC94BB" w14:textId="77777777">
              <w:trPr>
                <w:jc w:val="right"/>
              </w:trPr>
              <w:tc>
                <w:tcPr>
                  <w:tcW w:w="700" w:type="dxa"/>
                  <w:tcMar>
                    <w:top w:w="0" w:type="dxa"/>
                    <w:left w:w="29" w:type="dxa"/>
                    <w:bottom w:w="0" w:type="dxa"/>
                    <w:right w:w="29" w:type="dxa"/>
                  </w:tcMar>
                  <w:vAlign w:val="bottom"/>
                </w:tcPr>
                <w:p w:rsidRPr="00B71D5E" w:rsidR="000326E0" w:rsidP="00B71D5E" w:rsidRDefault="000326E0" w14:paraId="53E5C253" w14:textId="77777777">
                  <w:pPr>
                    <w:spacing w:before="120" w:after="120" w:line="240" w:lineRule="auto"/>
                    <w:rPr>
                      <w:rFonts w:ascii="Arial" w:hAnsi="Arial" w:cs="Arial"/>
                      <w:sz w:val="20"/>
                      <w:szCs w:val="20"/>
                    </w:rPr>
                  </w:pPr>
                </w:p>
              </w:tc>
              <w:tc>
                <w:tcPr>
                  <w:tcW w:w="4207" w:type="dxa"/>
                  <w:tcMar>
                    <w:top w:w="0" w:type="dxa"/>
                    <w:left w:w="29" w:type="dxa"/>
                    <w:bottom w:w="0" w:type="dxa"/>
                    <w:right w:w="29" w:type="dxa"/>
                  </w:tcMar>
                  <w:vAlign w:val="bottom"/>
                </w:tcPr>
                <w:p w:rsidRPr="00B71D5E" w:rsidR="000326E0" w:rsidP="00B71D5E" w:rsidRDefault="000326E0" w14:paraId="305CD8F9"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#Title#</w:t>
                  </w:r>
                </w:p>
              </w:tc>
            </w:tr>
            <w:tr w:rsidRPr="00B71D5E" w:rsidR="00026F29" w:rsidTr="00026F29" w14:paraId="7D99F240" w14:textId="77777777">
              <w:trPr>
                <w:trHeight w:val="432"/>
                <w:jc w:val="right"/>
              </w:trPr>
              <w:tc>
                <w:tcPr>
                  <w:tcW w:w="700" w:type="dxa"/>
                  <w:tcMar>
                    <w:top w:w="0" w:type="dxa"/>
                    <w:left w:w="29" w:type="dxa"/>
                    <w:bottom w:w="0" w:type="dxa"/>
                    <w:right w:w="29" w:type="dxa"/>
                  </w:tcMar>
                  <w:vAlign w:val="bottom"/>
                </w:tcPr>
                <w:p w:rsidRPr="00B71D5E" w:rsidR="00026F29" w:rsidP="00026F29" w:rsidRDefault="00026F29" w14:paraId="18E2C6B1"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bottom w:val="single" w:color="auto" w:sz="4" w:space="0"/>
                  </w:tcBorders>
                  <w:tcMar>
                    <w:top w:w="0" w:type="dxa"/>
                    <w:left w:w="29" w:type="dxa"/>
                    <w:bottom w:w="0" w:type="dxa"/>
                    <w:right w:w="29" w:type="dxa"/>
                  </w:tcMar>
                  <w:vAlign w:val="bottom"/>
                </w:tcPr>
                <w:p w:rsidRPr="00B71D5E" w:rsidR="00026F29" w:rsidP="00026F29" w:rsidRDefault="00026F29" w14:paraId="4EED3869" w14:textId="77777777">
                  <w:pPr>
                    <w:spacing w:before="120" w:after="120" w:line="240" w:lineRule="auto"/>
                    <w:jc w:val="right"/>
                    <w:rPr>
                      <w:rFonts w:ascii="Arial" w:hAnsi="Arial" w:cs="Arial"/>
                      <w:b/>
                      <w:sz w:val="20"/>
                      <w:szCs w:val="20"/>
                      <w:u w:val="single"/>
                    </w:rPr>
                  </w:pPr>
                </w:p>
              </w:tc>
            </w:tr>
            <w:tr w:rsidRPr="00B71D5E" w:rsidR="00026F29" w:rsidTr="00026F29" w14:paraId="3ED07CF3" w14:textId="77777777">
              <w:trPr>
                <w:trHeight w:val="432"/>
                <w:jc w:val="right"/>
              </w:trPr>
              <w:tc>
                <w:tcPr>
                  <w:tcW w:w="700" w:type="dxa"/>
                  <w:tcMar>
                    <w:top w:w="0" w:type="dxa"/>
                    <w:left w:w="29" w:type="dxa"/>
                    <w:bottom w:w="0" w:type="dxa"/>
                    <w:right w:w="29" w:type="dxa"/>
                  </w:tcMar>
                  <w:vAlign w:val="bottom"/>
                </w:tcPr>
                <w:p w:rsidRPr="00B71D5E" w:rsidR="00026F29" w:rsidP="00026F29" w:rsidRDefault="00026F29" w14:paraId="15EF86DA" w14:textId="77777777">
                  <w:pPr>
                    <w:spacing w:before="120" w:after="120" w:line="240" w:lineRule="auto"/>
                    <w:jc w:val="right"/>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026F29" w:rsidP="00026F29" w:rsidRDefault="00026F29" w14:paraId="21150794" w14:textId="77777777">
                  <w:pPr>
                    <w:spacing w:before="120" w:after="120" w:line="240" w:lineRule="auto"/>
                    <w:jc w:val="right"/>
                    <w:rPr>
                      <w:rFonts w:ascii="Arial" w:hAnsi="Arial" w:cs="Arial"/>
                      <w:b/>
                      <w:sz w:val="20"/>
                      <w:szCs w:val="20"/>
                      <w:u w:val="single"/>
                    </w:rPr>
                  </w:pPr>
                </w:p>
              </w:tc>
            </w:tr>
          </w:tbl>
          <w:p w:rsidRPr="00B71D5E" w:rsidR="00B36EC7" w:rsidP="00B71D5E" w:rsidRDefault="00B36EC7" w14:paraId="5F565B5B" w14:textId="77777777">
            <w:pPr>
              <w:pStyle w:val="zGTableSig12"/>
              <w:spacing w:after="120"/>
              <w:rPr>
                <w:w w:val="0"/>
                <w:sz w:val="20"/>
                <w:highlight w:val="yellow"/>
              </w:rPr>
            </w:pPr>
          </w:p>
        </w:tc>
      </w:tr>
    </w:tbl>
    <w:p w:rsidRPr="00B71D5E" w:rsidR="00B36EC7" w:rsidP="00B71D5E" w:rsidRDefault="00B36EC7" w14:paraId="6363A607" w14:textId="77777777">
      <w:pPr>
        <w:pStyle w:val="zGNormal6"/>
        <w:ind w:firstLine="720"/>
      </w:pPr>
    </w:p>
    <w:p w:rsidRPr="00B71D5E" w:rsidR="00B36EC7" w:rsidP="00B71D5E" w:rsidRDefault="00B36EC7" w14:paraId="00E53A9B" w14:textId="77777777">
      <w:pPr>
        <w:spacing w:before="120" w:after="120" w:line="240" w:lineRule="auto"/>
        <w:ind w:left="5040"/>
        <w:rPr>
          <w:rFonts w:ascii="Arial" w:hAnsi="Arial" w:cs="Arial"/>
          <w:sz w:val="20"/>
          <w:szCs w:val="20"/>
        </w:rPr>
      </w:pPr>
    </w:p>
    <w:p w:rsidRPr="00B71D5E" w:rsidR="00B36EC7" w:rsidP="00B71D5E" w:rsidRDefault="00B36EC7" w14:paraId="21A584AC" w14:textId="77777777">
      <w:pPr>
        <w:pStyle w:val="BodyText"/>
        <w:spacing w:before="120" w:line="240" w:lineRule="auto"/>
        <w:rPr>
          <w:rFonts w:ascii="Arial" w:hAnsi="Arial" w:eastAsia="Calibri" w:cs="Arial"/>
          <w:sz w:val="20"/>
          <w:szCs w:val="20"/>
        </w:rPr>
        <w:sectPr w:rsidRPr="00B71D5E" w:rsidR="00B36EC7" w:rsidSect="00C11AB5">
          <w:headerReference w:type="even" r:id="rId34"/>
          <w:headerReference w:type="default" r:id="rId35"/>
          <w:footerReference w:type="even" r:id="rId36"/>
          <w:footerReference w:type="default" r:id="rId37"/>
          <w:headerReference w:type="first" r:id="rId38"/>
          <w:footerReference w:type="first" r:id="rId39"/>
          <w:pgSz w:w="12240" w:h="15840" w:code="1"/>
          <w:pgMar w:top="1080" w:right="1080" w:bottom="936" w:left="1224" w:header="432" w:footer="576" w:gutter="0"/>
          <w:cols w:space="720"/>
          <w:titlePg/>
          <w:docGrid w:linePitch="326"/>
        </w:sectPr>
      </w:pPr>
      <w:bookmarkStart w:name="_DV_M776" w:id="602"/>
      <w:bookmarkEnd w:id="602"/>
      <w:r>
        <w:rPr>
          <w:rFonts w:ascii="Arial" w:hAnsi="Arial" w:eastAsia="Calibri" w:cs="Arial"/>
          <w:sz w:val="20"/>
          <w:szCs w:val="20"/>
        </w:rPr>
        <w:tab/>
      </w:r>
      <w:r>
        <w:rPr>
          <w:rFonts w:ascii="Arial" w:hAnsi="Arial" w:eastAsia="Calibri" w:cs="Arial"/>
          <w:sz w:val="20"/>
          <w:szCs w:val="20"/>
        </w:rPr>
        <w:tab/>
      </w:r>
      <w:r>
        <w:rPr>
          <w:rFonts w:ascii="Arial" w:hAnsi="Arial" w:eastAsia="Calibri" w:cs="Arial"/>
          <w:sz w:val="20"/>
          <w:szCs w:val="20"/>
        </w:rPr>
        <w:tab/>
      </w:r>
      <w:r>
        <w:rPr>
          <w:rFonts w:ascii="Arial" w:hAnsi="Arial" w:eastAsia="Calibri" w:cs="Arial"/>
          <w:sz w:val="20"/>
          <w:szCs w:val="20"/>
        </w:rPr>
        <w:tab/>
      </w:r>
      <w:r>
        <w:rPr>
          <w:rFonts w:ascii="Arial" w:hAnsi="Arial" w:eastAsia="Calibri" w:cs="Arial"/>
          <w:sz w:val="20"/>
          <w:szCs w:val="20"/>
        </w:rPr>
        <w:tab/>
      </w:r>
      <w:r>
        <w:rPr>
          <w:rFonts w:ascii="Arial" w:hAnsi="Arial" w:eastAsia="Calibri" w:cs="Arial"/>
          <w:sz w:val="20"/>
          <w:szCs w:val="20"/>
        </w:rPr>
        <w:tab/>
      </w:r>
    </w:p>
    <w:p w:rsidRPr="00B71D5E" w:rsidR="00B36EC7" w:rsidP="00B71D5E" w:rsidRDefault="00B36EC7" w14:paraId="65DF8B1B" w14:textId="77777777">
      <w:pPr>
        <w:pStyle w:val="zGTitle11"/>
        <w:spacing w:before="120" w:after="120"/>
        <w:rPr>
          <w:rFonts w:eastAsia="Calibri" w:cs="Arial"/>
          <w:sz w:val="20"/>
        </w:rPr>
      </w:pPr>
      <w:r>
        <w:rPr>
          <w:rFonts w:eastAsia="Calibri" w:cs="Arial"/>
          <w:sz w:val="20"/>
        </w:rPr>
        <w:lastRenderedPageBreak/>
        <w:t>ANNEX 1</w:t>
      </w:r>
    </w:p>
    <w:p w:rsidRPr="00B71D5E" w:rsidR="00B36EC7" w:rsidP="00B71D5E" w:rsidRDefault="00B36EC7" w14:paraId="4BE875BB" w14:textId="77777777">
      <w:pPr>
        <w:pStyle w:val="zGTitle11"/>
        <w:spacing w:before="120" w:after="120"/>
        <w:rPr>
          <w:rFonts w:eastAsia="Calibri" w:cs="Arial"/>
          <w:sz w:val="20"/>
        </w:rPr>
      </w:pPr>
      <w:r>
        <w:rPr>
          <w:rFonts w:eastAsia="Calibri" w:cs="Arial"/>
          <w:sz w:val="20"/>
        </w:rPr>
        <w:t>FORM OF SIGHT DRAFT</w:t>
      </w:r>
      <w:r>
        <w:rPr>
          <w:rFonts w:eastAsia="Calibri" w:cs="Arial"/>
          <w:sz w:val="20"/>
        </w:rPr>
        <w:br/>
      </w:r>
    </w:p>
    <w:p w:rsidRPr="00B71D5E" w:rsidR="00B36EC7" w:rsidP="00B71D5E" w:rsidRDefault="00B36EC7" w14:paraId="2FF9687E" w14:textId="77777777">
      <w:pPr>
        <w:pStyle w:val="zGNormal6"/>
      </w:pPr>
      <w:r>
        <w:rPr>
          <w:highlight w:val="yellow"/>
        </w:rPr>
        <w:t>[Insert Place]</w:t>
      </w:r>
      <w:r>
        <w:t xml:space="preserve">, </w:t>
      </w:r>
      <w:r>
        <w:rPr>
          <w:highlight w:val="yellow"/>
        </w:rPr>
        <w:t>[Insert Date]</w:t>
      </w:r>
    </w:p>
    <w:p w:rsidRPr="00B71D5E" w:rsidR="00B36EC7" w:rsidP="00B71D5E" w:rsidRDefault="00B36EC7" w14:paraId="0E2A7049" w14:textId="77777777">
      <w:pPr>
        <w:pStyle w:val="zGNormal6"/>
        <w:rPr>
          <w:highlight w:val="yellow"/>
        </w:rPr>
      </w:pPr>
      <w:r>
        <w:t>Amount:</w:t>
      </w:r>
      <w:r>
        <w:tab/>
      </w:r>
      <w:r>
        <w:rPr>
          <w:highlight w:val="yellow"/>
        </w:rPr>
        <w:t>[Insert Currency][Insert Amount in Numbers]</w:t>
      </w:r>
    </w:p>
    <w:p w:rsidRPr="00B71D5E" w:rsidR="00B36EC7" w:rsidP="00B71D5E" w:rsidRDefault="00B36EC7" w14:paraId="0D225114" w14:textId="77777777">
      <w:pPr>
        <w:pStyle w:val="zGNormal6"/>
      </w:pPr>
      <w:r>
        <w:tab/>
      </w:r>
      <w:r>
        <w:tab/>
      </w:r>
      <w:r>
        <w:rPr>
          <w:highlight w:val="yellow"/>
        </w:rPr>
        <w:t>[Insert Amount in Letters]</w:t>
      </w:r>
    </w:p>
    <w:p w:rsidRPr="00B71D5E" w:rsidR="00B36EC7" w:rsidP="00B71D5E" w:rsidRDefault="00B36EC7" w14:paraId="788D1459" w14:textId="77777777">
      <w:pPr>
        <w:pStyle w:val="zGNormal6"/>
      </w:pPr>
      <w:r>
        <w:t>Drawn under Irrevocable Standby Letter of Credit No. ___________ of [Insert Name of Issuing Bank]</w:t>
      </w:r>
    </w:p>
    <w:p w:rsidRPr="00B71D5E" w:rsidR="00B36EC7" w:rsidP="00B71D5E" w:rsidRDefault="00B36EC7" w14:paraId="5752A15A" w14:textId="77777777">
      <w:pPr>
        <w:pStyle w:val="zGNormal6"/>
      </w:pPr>
      <w:r>
        <w:t>At Sight</w:t>
      </w:r>
    </w:p>
    <w:p w:rsidRPr="00B71D5E" w:rsidR="00B36EC7" w:rsidP="00B71D5E" w:rsidRDefault="00B36EC7" w14:paraId="1804DFD3" w14:textId="77777777">
      <w:pPr>
        <w:pStyle w:val="zGNormal6"/>
      </w:pPr>
      <w:r>
        <w:t xml:space="preserve">Pay to the Order of </w:t>
      </w:r>
      <w:r>
        <w:rPr>
          <w:highlight w:val="yellow"/>
        </w:rPr>
        <w:t>[Name of Beneficiary]</w:t>
      </w:r>
    </w:p>
    <w:p w:rsidRPr="00B71D5E" w:rsidR="00B36EC7" w:rsidP="00B71D5E" w:rsidRDefault="00B36EC7" w14:paraId="0E0B6B3C" w14:textId="77777777">
      <w:pPr>
        <w:pStyle w:val="zGNormal6"/>
      </w:pPr>
      <w:r>
        <w:t>In reference to:</w:t>
      </w:r>
      <w:r>
        <w:tab/>
        <w:t>Irrevocable Standby Letter of Credit No. ____________, dated ________.</w:t>
      </w:r>
    </w:p>
    <w:p w:rsidRPr="00B71D5E" w:rsidR="00B36EC7" w:rsidP="00B71D5E" w:rsidRDefault="00B36EC7" w14:paraId="671D9E82" w14:textId="77777777">
      <w:pPr>
        <w:pStyle w:val="zGNormal6"/>
        <w:rPr>
          <w:highlight w:val="yellow"/>
        </w:rPr>
      </w:pPr>
      <w:r>
        <w:t>To:</w:t>
      </w:r>
      <w:r>
        <w:tab/>
      </w:r>
      <w:r>
        <w:rPr>
          <w:highlight w:val="yellow"/>
        </w:rPr>
        <w:t>[Insert Name of Issuing Bank]</w:t>
      </w:r>
    </w:p>
    <w:p w:rsidRPr="00B71D5E" w:rsidR="00B36EC7" w:rsidP="00B71D5E" w:rsidRDefault="00B36EC7" w14:paraId="7656C687" w14:textId="77777777">
      <w:pPr>
        <w:pStyle w:val="zGNormal6"/>
      </w:pPr>
      <w:r>
        <w:tab/>
      </w:r>
      <w:r>
        <w:rPr>
          <w:highlight w:val="yellow"/>
        </w:rPr>
        <w:t>[Insert Address]</w:t>
      </w:r>
    </w:p>
    <w:p w:rsidRPr="00B71D5E" w:rsidR="00B36EC7" w:rsidP="00B71D5E" w:rsidRDefault="00B36EC7" w14:paraId="7A0B190F" w14:textId="77777777">
      <w:pPr>
        <w:spacing w:before="120" w:after="120" w:line="240" w:lineRule="auto"/>
        <w:rPr>
          <w:rFonts w:ascii="Arial" w:hAnsi="Arial" w:cs="Arial"/>
          <w:sz w:val="20"/>
          <w:szCs w:val="20"/>
        </w:rPr>
      </w:pPr>
    </w:p>
    <w:p w:rsidRPr="00B71D5E" w:rsidR="00B36EC7" w:rsidP="00B71D5E" w:rsidRDefault="00B36EC7" w14:paraId="16CD4392" w14:textId="77777777">
      <w:pPr>
        <w:spacing w:before="120" w:after="120" w:line="240" w:lineRule="auto"/>
        <w:ind w:left="5040"/>
        <w:rPr>
          <w:rFonts w:ascii="Arial" w:hAnsi="Arial" w:cs="Arial"/>
          <w:sz w:val="20"/>
          <w:szCs w:val="20"/>
          <w:highlight w:val="yellow"/>
        </w:rPr>
      </w:pPr>
    </w:p>
    <w:tbl>
      <w:tblPr>
        <w:tblW w:w="9936" w:type="dxa"/>
        <w:tblLayout w:type="fixed"/>
        <w:tblCellMar>
          <w:left w:w="29" w:type="dxa"/>
          <w:right w:w="29" w:type="dxa"/>
        </w:tblCellMar>
        <w:tblLook w:val="01E0" w:firstRow="1" w:lastRow="1" w:firstColumn="1" w:lastColumn="1" w:noHBand="0" w:noVBand="0"/>
      </w:tblPr>
      <w:tblGrid>
        <w:gridCol w:w="9936"/>
      </w:tblGrid>
      <w:tr w:rsidRPr="00B71D5E" w:rsidR="00B36EC7" w14:paraId="631B2884" w14:textId="77777777">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Pr="00B71D5E" w:rsidR="00B36EC7" w14:paraId="0970DFCC" w14:textId="77777777">
              <w:trPr>
                <w:trHeight w:val="432"/>
                <w:jc w:val="right"/>
              </w:trPr>
              <w:tc>
                <w:tcPr>
                  <w:tcW w:w="4907" w:type="dxa"/>
                  <w:gridSpan w:val="2"/>
                  <w:tcMar>
                    <w:top w:w="0" w:type="dxa"/>
                    <w:left w:w="29" w:type="dxa"/>
                    <w:bottom w:w="0" w:type="dxa"/>
                    <w:right w:w="29" w:type="dxa"/>
                  </w:tcMar>
                </w:tcPr>
                <w:p w:rsidRPr="00B71D5E" w:rsidR="00B36EC7" w:rsidP="00B71D5E" w:rsidRDefault="00B36EC7" w14:paraId="5BA5F9E6" w14:textId="77777777">
                  <w:pPr>
                    <w:keepNext/>
                    <w:spacing w:before="120" w:after="120" w:line="240" w:lineRule="auto"/>
                    <w:rPr>
                      <w:rFonts w:ascii="Arial" w:hAnsi="Arial" w:cs="Arial"/>
                      <w:b/>
                      <w:sz w:val="20"/>
                      <w:szCs w:val="20"/>
                      <w:highlight w:val="yellow"/>
                    </w:rPr>
                  </w:pPr>
                  <w:r>
                    <w:rPr>
                      <w:rFonts w:ascii="Arial" w:hAnsi="Arial" w:cs="Arial"/>
                      <w:b/>
                      <w:sz w:val="20"/>
                      <w:szCs w:val="20"/>
                      <w:highlight w:val="yellow"/>
                    </w:rPr>
                    <w:t>[BENEFICIARY]</w:t>
                  </w:r>
                </w:p>
              </w:tc>
            </w:tr>
            <w:tr w:rsidRPr="00B71D5E" w:rsidR="00B36EC7" w:rsidTr="00360C3B" w14:paraId="3FAD3850" w14:textId="77777777">
              <w:trPr>
                <w:trHeight w:val="432"/>
                <w:jc w:val="right"/>
              </w:trPr>
              <w:tc>
                <w:tcPr>
                  <w:tcW w:w="700" w:type="dxa"/>
                  <w:tcMar>
                    <w:top w:w="0" w:type="dxa"/>
                    <w:left w:w="29" w:type="dxa"/>
                    <w:bottom w:w="0" w:type="dxa"/>
                    <w:right w:w="29" w:type="dxa"/>
                  </w:tcMar>
                  <w:vAlign w:val="bottom"/>
                </w:tcPr>
                <w:p w:rsidRPr="00B71D5E" w:rsidR="00B36EC7" w:rsidP="00B71D5E" w:rsidRDefault="00B36EC7" w14:paraId="4A465685"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bottom w:val="single" w:color="auto" w:sz="4" w:space="0"/>
                  </w:tcBorders>
                  <w:tcMar>
                    <w:top w:w="0" w:type="dxa"/>
                    <w:left w:w="29" w:type="dxa"/>
                    <w:bottom w:w="0" w:type="dxa"/>
                    <w:right w:w="29" w:type="dxa"/>
                  </w:tcMar>
                  <w:vAlign w:val="bottom"/>
                </w:tcPr>
                <w:p w:rsidRPr="00B71D5E" w:rsidR="00B36EC7" w:rsidP="00B71D5E" w:rsidRDefault="00B36EC7" w14:paraId="07721C1D" w14:textId="77777777">
                  <w:pPr>
                    <w:spacing w:before="120" w:after="120" w:line="240" w:lineRule="auto"/>
                    <w:jc w:val="right"/>
                    <w:rPr>
                      <w:rFonts w:ascii="Arial" w:hAnsi="Arial" w:cs="Arial"/>
                      <w:b/>
                      <w:sz w:val="20"/>
                      <w:szCs w:val="20"/>
                      <w:u w:val="single"/>
                    </w:rPr>
                  </w:pPr>
                </w:p>
              </w:tc>
            </w:tr>
            <w:tr w:rsidRPr="00B71D5E" w:rsidR="00B36EC7" w:rsidTr="00360C3B" w14:paraId="43FBEC8B" w14:textId="77777777">
              <w:trPr>
                <w:jc w:val="right"/>
              </w:trPr>
              <w:tc>
                <w:tcPr>
                  <w:tcW w:w="700" w:type="dxa"/>
                  <w:tcMar>
                    <w:top w:w="0" w:type="dxa"/>
                    <w:left w:w="29" w:type="dxa"/>
                    <w:bottom w:w="0" w:type="dxa"/>
                    <w:right w:w="29" w:type="dxa"/>
                  </w:tcMar>
                  <w:vAlign w:val="bottom"/>
                </w:tcPr>
                <w:p w:rsidRPr="00B71D5E" w:rsidR="00B36EC7" w:rsidP="00B71D5E" w:rsidRDefault="00B36EC7" w14:paraId="73561C3E" w14:textId="77777777">
                  <w:pPr>
                    <w:spacing w:before="120" w:after="120" w:line="240" w:lineRule="auto"/>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B36EC7" w:rsidP="00B71D5E" w:rsidRDefault="00B36EC7" w14:paraId="498665CB"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#Name#</w:t>
                  </w:r>
                </w:p>
              </w:tc>
            </w:tr>
            <w:tr w:rsidRPr="00B71D5E" w:rsidR="00B36EC7" w:rsidTr="00026F29" w14:paraId="0E6E415D" w14:textId="77777777">
              <w:trPr>
                <w:jc w:val="right"/>
              </w:trPr>
              <w:tc>
                <w:tcPr>
                  <w:tcW w:w="700" w:type="dxa"/>
                  <w:tcMar>
                    <w:top w:w="0" w:type="dxa"/>
                    <w:left w:w="29" w:type="dxa"/>
                    <w:bottom w:w="0" w:type="dxa"/>
                    <w:right w:w="29" w:type="dxa"/>
                  </w:tcMar>
                  <w:vAlign w:val="bottom"/>
                </w:tcPr>
                <w:p w:rsidRPr="00B71D5E" w:rsidR="00B36EC7" w:rsidP="00B71D5E" w:rsidRDefault="00B36EC7" w14:paraId="32AE7B7F" w14:textId="77777777">
                  <w:pPr>
                    <w:spacing w:before="120" w:after="120" w:line="240" w:lineRule="auto"/>
                    <w:rPr>
                      <w:rFonts w:ascii="Arial" w:hAnsi="Arial" w:cs="Arial"/>
                      <w:sz w:val="20"/>
                      <w:szCs w:val="20"/>
                    </w:rPr>
                  </w:pPr>
                </w:p>
              </w:tc>
              <w:tc>
                <w:tcPr>
                  <w:tcW w:w="4207" w:type="dxa"/>
                  <w:tcMar>
                    <w:top w:w="0" w:type="dxa"/>
                    <w:left w:w="29" w:type="dxa"/>
                    <w:bottom w:w="0" w:type="dxa"/>
                    <w:right w:w="29" w:type="dxa"/>
                  </w:tcMar>
                  <w:vAlign w:val="bottom"/>
                </w:tcPr>
                <w:p w:rsidRPr="00B71D5E" w:rsidR="00B36EC7" w:rsidP="00B71D5E" w:rsidRDefault="00B36EC7" w14:paraId="6AC4794C"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#Title#</w:t>
                  </w:r>
                </w:p>
              </w:tc>
            </w:tr>
            <w:tr w:rsidRPr="00B71D5E" w:rsidR="00026F29" w:rsidTr="00026F29" w14:paraId="3ED96832" w14:textId="77777777">
              <w:trPr>
                <w:trHeight w:val="432"/>
                <w:jc w:val="right"/>
              </w:trPr>
              <w:tc>
                <w:tcPr>
                  <w:tcW w:w="700" w:type="dxa"/>
                  <w:tcMar>
                    <w:top w:w="0" w:type="dxa"/>
                    <w:left w:w="29" w:type="dxa"/>
                    <w:bottom w:w="0" w:type="dxa"/>
                    <w:right w:w="29" w:type="dxa"/>
                  </w:tcMar>
                  <w:vAlign w:val="bottom"/>
                </w:tcPr>
                <w:p w:rsidRPr="00B71D5E" w:rsidR="00026F29" w:rsidP="00026F29" w:rsidRDefault="00026F29" w14:paraId="36CE3DB7"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bottom w:val="single" w:color="auto" w:sz="4" w:space="0"/>
                  </w:tcBorders>
                  <w:tcMar>
                    <w:top w:w="0" w:type="dxa"/>
                    <w:left w:w="29" w:type="dxa"/>
                    <w:bottom w:w="0" w:type="dxa"/>
                    <w:right w:w="29" w:type="dxa"/>
                  </w:tcMar>
                  <w:vAlign w:val="bottom"/>
                </w:tcPr>
                <w:p w:rsidRPr="00B71D5E" w:rsidR="00026F29" w:rsidP="00026F29" w:rsidRDefault="00026F29" w14:paraId="21226069" w14:textId="77777777">
                  <w:pPr>
                    <w:spacing w:before="120" w:after="120" w:line="240" w:lineRule="auto"/>
                    <w:jc w:val="right"/>
                    <w:rPr>
                      <w:rFonts w:ascii="Arial" w:hAnsi="Arial" w:cs="Arial"/>
                      <w:b/>
                      <w:sz w:val="20"/>
                      <w:szCs w:val="20"/>
                      <w:u w:val="single"/>
                    </w:rPr>
                  </w:pPr>
                </w:p>
              </w:tc>
            </w:tr>
            <w:tr w:rsidRPr="00B71D5E" w:rsidR="00026F29" w:rsidTr="00026F29" w14:paraId="2473C437" w14:textId="77777777">
              <w:trPr>
                <w:trHeight w:val="432"/>
                <w:jc w:val="right"/>
              </w:trPr>
              <w:tc>
                <w:tcPr>
                  <w:tcW w:w="700" w:type="dxa"/>
                  <w:tcMar>
                    <w:top w:w="0" w:type="dxa"/>
                    <w:left w:w="29" w:type="dxa"/>
                    <w:bottom w:w="0" w:type="dxa"/>
                    <w:right w:w="29" w:type="dxa"/>
                  </w:tcMar>
                  <w:vAlign w:val="bottom"/>
                </w:tcPr>
                <w:p w:rsidRPr="00B71D5E" w:rsidR="00026F29" w:rsidP="00026F29" w:rsidRDefault="00026F29" w14:paraId="357F2E04" w14:textId="77777777">
                  <w:pPr>
                    <w:spacing w:before="120" w:after="120" w:line="240" w:lineRule="auto"/>
                    <w:jc w:val="right"/>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026F29" w:rsidP="00026F29" w:rsidRDefault="00026F29" w14:paraId="6B151FD9" w14:textId="77777777">
                  <w:pPr>
                    <w:spacing w:before="120" w:after="120" w:line="240" w:lineRule="auto"/>
                    <w:jc w:val="right"/>
                    <w:rPr>
                      <w:rFonts w:ascii="Arial" w:hAnsi="Arial" w:cs="Arial"/>
                      <w:b/>
                      <w:sz w:val="20"/>
                      <w:szCs w:val="20"/>
                      <w:u w:val="single"/>
                    </w:rPr>
                  </w:pPr>
                </w:p>
              </w:tc>
            </w:tr>
          </w:tbl>
          <w:p w:rsidRPr="00B71D5E" w:rsidR="00B36EC7" w:rsidP="00B71D5E" w:rsidRDefault="00B36EC7" w14:paraId="083B398A" w14:textId="77777777">
            <w:pPr>
              <w:pStyle w:val="zGTableSig12"/>
              <w:spacing w:after="120"/>
              <w:rPr>
                <w:w w:val="0"/>
                <w:sz w:val="20"/>
                <w:highlight w:val="yellow"/>
              </w:rPr>
            </w:pPr>
          </w:p>
        </w:tc>
      </w:tr>
    </w:tbl>
    <w:p w:rsidRPr="00B71D5E" w:rsidR="00B36EC7" w:rsidP="00B71D5E" w:rsidRDefault="00B36EC7" w14:paraId="23EE3170" w14:textId="77777777">
      <w:pPr>
        <w:spacing w:before="120" w:after="120" w:line="240" w:lineRule="auto"/>
        <w:ind w:left="5040"/>
        <w:rPr>
          <w:rFonts w:ascii="Arial" w:hAnsi="Arial" w:cs="Arial"/>
          <w:sz w:val="20"/>
          <w:szCs w:val="20"/>
          <w:highlight w:val="yellow"/>
        </w:rPr>
      </w:pPr>
    </w:p>
    <w:p w:rsidRPr="00B71D5E" w:rsidR="00B36EC7" w:rsidP="00B71D5E" w:rsidRDefault="00B36EC7" w14:paraId="03EB553B" w14:textId="77777777">
      <w:pPr>
        <w:spacing w:before="120" w:after="120" w:line="240" w:lineRule="auto"/>
        <w:ind w:left="5040"/>
        <w:rPr>
          <w:rFonts w:ascii="Arial" w:hAnsi="Arial" w:cs="Arial"/>
          <w:sz w:val="20"/>
          <w:szCs w:val="20"/>
        </w:rPr>
      </w:pPr>
    </w:p>
    <w:p w:rsidRPr="00B71D5E" w:rsidR="00B36EC7" w:rsidP="00B71D5E" w:rsidRDefault="00B36EC7" w14:paraId="6FCCD93F" w14:textId="77777777">
      <w:pPr>
        <w:pStyle w:val="BodyText"/>
        <w:spacing w:before="120" w:line="240" w:lineRule="auto"/>
        <w:rPr>
          <w:rFonts w:ascii="Arial" w:hAnsi="Arial" w:eastAsia="Calibri" w:cs="Arial"/>
          <w:sz w:val="20"/>
          <w:szCs w:val="20"/>
        </w:rPr>
        <w:sectPr w:rsidRPr="00B71D5E" w:rsidR="00B36EC7" w:rsidSect="00C11AB5">
          <w:headerReference w:type="even" r:id="rId40"/>
          <w:headerReference w:type="default" r:id="rId41"/>
          <w:footerReference w:type="even" r:id="rId42"/>
          <w:footerReference w:type="default" r:id="rId43"/>
          <w:headerReference w:type="first" r:id="rId44"/>
          <w:footerReference w:type="first" r:id="rId45"/>
          <w:pgSz w:w="12240" w:h="15840" w:code="1"/>
          <w:pgMar w:top="1080" w:right="1080" w:bottom="936" w:left="1224" w:header="432" w:footer="576" w:gutter="0"/>
          <w:cols w:space="720"/>
        </w:sectPr>
      </w:pPr>
    </w:p>
    <w:p w:rsidRPr="00B71D5E" w:rsidR="00B36EC7" w:rsidP="00B71D5E" w:rsidRDefault="00B36EC7" w14:paraId="20B748CA" w14:textId="77777777">
      <w:pPr>
        <w:pStyle w:val="zGTitle11"/>
        <w:spacing w:before="120" w:after="120"/>
        <w:rPr>
          <w:rFonts w:eastAsia="Calibri" w:cs="Arial"/>
          <w:sz w:val="20"/>
        </w:rPr>
      </w:pPr>
      <w:r>
        <w:rPr>
          <w:rFonts w:eastAsia="Calibri" w:cs="Arial"/>
          <w:sz w:val="20"/>
        </w:rPr>
        <w:lastRenderedPageBreak/>
        <w:t>ANNEX 2</w:t>
      </w:r>
    </w:p>
    <w:p w:rsidRPr="00B71D5E" w:rsidR="00B36EC7" w:rsidP="00B71D5E" w:rsidRDefault="00B36EC7" w14:paraId="32702D73" w14:textId="77777777">
      <w:pPr>
        <w:pStyle w:val="zGTitle11"/>
        <w:spacing w:before="120" w:after="120"/>
        <w:rPr>
          <w:rFonts w:eastAsia="Calibri" w:cs="Arial"/>
          <w:sz w:val="20"/>
        </w:rPr>
      </w:pPr>
      <w:r>
        <w:rPr>
          <w:rFonts w:eastAsia="Calibri" w:cs="Arial"/>
          <w:sz w:val="20"/>
        </w:rPr>
        <w:t>FORM OF CERTIFICATE</w:t>
      </w:r>
    </w:p>
    <w:p w:rsidRPr="00B71D5E" w:rsidR="00B36EC7" w:rsidP="00B71D5E" w:rsidRDefault="00B36EC7" w14:paraId="148C53DF" w14:textId="77777777">
      <w:pPr>
        <w:spacing w:before="120" w:after="120" w:line="240" w:lineRule="auto"/>
        <w:ind w:left="720" w:hanging="720"/>
        <w:rPr>
          <w:rFonts w:ascii="Arial" w:hAnsi="Arial" w:cs="Arial"/>
          <w:sz w:val="20"/>
          <w:szCs w:val="20"/>
        </w:rPr>
      </w:pPr>
      <w:r>
        <w:rPr>
          <w:rFonts w:ascii="Arial" w:hAnsi="Arial" w:cs="Arial"/>
          <w:sz w:val="20"/>
          <w:szCs w:val="20"/>
        </w:rPr>
        <w:t>Re:</w:t>
      </w:r>
      <w:r>
        <w:rPr>
          <w:rFonts w:ascii="Arial" w:hAnsi="Arial" w:cs="Arial"/>
          <w:sz w:val="20"/>
          <w:szCs w:val="20"/>
        </w:rPr>
        <w:tab/>
        <w:t xml:space="preserve">[Insert Name of Agreement] dated _________, 20__ </w:t>
      </w:r>
      <w:r>
        <w:rPr>
          <w:rFonts w:ascii="Arial" w:hAnsi="Arial" w:eastAsia="Times New Roman" w:cs="Arial"/>
          <w:sz w:val="20"/>
          <w:szCs w:val="20"/>
        </w:rPr>
        <w:t>(“</w:t>
      </w:r>
      <w:r>
        <w:rPr>
          <w:rFonts w:ascii="Arial" w:hAnsi="Arial" w:cs="Arial"/>
          <w:b/>
          <w:sz w:val="20"/>
          <w:szCs w:val="20"/>
        </w:rPr>
        <w:t>Agreement</w:t>
      </w:r>
      <w:r>
        <w:rPr>
          <w:rFonts w:ascii="Arial" w:hAnsi="Arial" w:cs="Arial"/>
          <w:sz w:val="20"/>
          <w:szCs w:val="20"/>
        </w:rPr>
        <w:t>”) between [Name of Account Party] (“[</w:t>
      </w:r>
      <w:r>
        <w:rPr>
          <w:rFonts w:ascii="Arial" w:hAnsi="Arial" w:cs="Arial"/>
          <w:b/>
          <w:sz w:val="20"/>
          <w:szCs w:val="20"/>
          <w:highlight w:val="yellow"/>
        </w:rPr>
        <w:t>Account Party</w:t>
      </w:r>
      <w:r>
        <w:rPr>
          <w:rFonts w:ascii="Arial" w:hAnsi="Arial" w:cs="Arial"/>
          <w:sz w:val="20"/>
          <w:szCs w:val="20"/>
        </w:rPr>
        <w:t>]”) and [</w:t>
      </w:r>
      <w:r>
        <w:rPr>
          <w:rFonts w:ascii="Arial" w:hAnsi="Arial" w:cs="Arial"/>
          <w:sz w:val="20"/>
          <w:szCs w:val="20"/>
          <w:highlight w:val="yellow"/>
        </w:rPr>
        <w:t>Name of Beneficiary</w:t>
      </w:r>
      <w:r>
        <w:rPr>
          <w:rFonts w:ascii="Arial" w:hAnsi="Arial" w:cs="Arial"/>
          <w:sz w:val="20"/>
          <w:szCs w:val="20"/>
        </w:rPr>
        <w:t>] (“[</w:t>
      </w:r>
      <w:r>
        <w:rPr>
          <w:rFonts w:ascii="Arial" w:hAnsi="Arial" w:cs="Arial"/>
          <w:b/>
          <w:sz w:val="20"/>
          <w:szCs w:val="20"/>
          <w:highlight w:val="yellow"/>
        </w:rPr>
        <w:t>Beneficiary</w:t>
      </w:r>
      <w:r>
        <w:rPr>
          <w:rFonts w:ascii="Arial" w:hAnsi="Arial" w:cs="Arial"/>
          <w:sz w:val="20"/>
          <w:szCs w:val="20"/>
        </w:rPr>
        <w:t>]”).</w:t>
      </w:r>
    </w:p>
    <w:p w:rsidRPr="00B71D5E" w:rsidR="00B36EC7" w:rsidP="00B71D5E" w:rsidRDefault="00B36EC7" w14:paraId="667A433D" w14:textId="77777777">
      <w:pPr>
        <w:pStyle w:val="BodyText"/>
        <w:tabs>
          <w:tab w:val="left" w:pos="720"/>
        </w:tabs>
        <w:spacing w:before="120" w:line="240" w:lineRule="auto"/>
        <w:ind w:firstLine="14"/>
        <w:rPr>
          <w:rFonts w:ascii="Arial" w:hAnsi="Arial" w:cs="Arial"/>
          <w:sz w:val="20"/>
          <w:szCs w:val="20"/>
        </w:rPr>
      </w:pPr>
      <w:r>
        <w:rPr>
          <w:rFonts w:ascii="Arial" w:hAnsi="Arial" w:cs="Arial"/>
          <w:sz w:val="20"/>
          <w:szCs w:val="20"/>
        </w:rPr>
        <w:tab/>
        <w:t>The undersigned, an officer, or authorized representative of [Beneficiary], certifies to [ISSUING BANK] (“</w:t>
      </w:r>
      <w:r>
        <w:rPr>
          <w:rFonts w:ascii="Arial" w:hAnsi="Arial" w:cs="Arial"/>
          <w:b/>
          <w:sz w:val="20"/>
          <w:szCs w:val="20"/>
        </w:rPr>
        <w:t>Bank</w:t>
      </w:r>
      <w:r>
        <w:rPr>
          <w:rFonts w:ascii="Arial" w:hAnsi="Arial" w:cs="Arial"/>
          <w:sz w:val="20"/>
          <w:szCs w:val="20"/>
        </w:rPr>
        <w:t>”) with reference to irrevocable standby letter of credit no. (“</w:t>
      </w:r>
      <w:r>
        <w:rPr>
          <w:rFonts w:ascii="Arial" w:hAnsi="Arial" w:cs="Arial"/>
          <w:b/>
          <w:sz w:val="20"/>
          <w:szCs w:val="20"/>
        </w:rPr>
        <w:t>Standby Letter of Credit</w:t>
      </w:r>
      <w:r>
        <w:rPr>
          <w:rFonts w:ascii="Arial" w:hAnsi="Arial" w:cs="Arial"/>
          <w:sz w:val="20"/>
          <w:szCs w:val="20"/>
        </w:rPr>
        <w:t>”), issued by the Bank for the account of [</w:t>
      </w:r>
      <w:r>
        <w:rPr>
          <w:rFonts w:ascii="Arial" w:hAnsi="Arial" w:cs="Arial"/>
          <w:sz w:val="20"/>
          <w:szCs w:val="20"/>
          <w:highlight w:val="yellow"/>
        </w:rPr>
        <w:t>Account Party</w:t>
      </w:r>
      <w:r>
        <w:rPr>
          <w:rFonts w:ascii="Arial" w:hAnsi="Arial" w:cs="Arial"/>
          <w:sz w:val="20"/>
          <w:szCs w:val="20"/>
        </w:rPr>
        <w:t>] in favor of [</w:t>
      </w:r>
      <w:r>
        <w:rPr>
          <w:rFonts w:ascii="Arial" w:hAnsi="Arial" w:cs="Arial"/>
          <w:sz w:val="20"/>
          <w:szCs w:val="20"/>
          <w:highlight w:val="yellow"/>
        </w:rPr>
        <w:t>Beneficiary</w:t>
      </w:r>
      <w:r>
        <w:rPr>
          <w:rFonts w:ascii="Arial" w:hAnsi="Arial" w:cs="Arial"/>
          <w:sz w:val="20"/>
          <w:szCs w:val="20"/>
        </w:rPr>
        <w:t>] that:</w:t>
      </w:r>
    </w:p>
    <w:p w:rsidRPr="00B71D5E" w:rsidR="00B36EC7" w:rsidP="00B71D5E" w:rsidRDefault="00B36EC7" w14:paraId="7B7261F5" w14:textId="77777777">
      <w:pPr>
        <w:pStyle w:val="BodyText"/>
        <w:tabs>
          <w:tab w:val="left" w:pos="720"/>
        </w:tabs>
        <w:spacing w:before="120" w:line="240" w:lineRule="auto"/>
        <w:rPr>
          <w:rFonts w:ascii="Arial" w:hAnsi="Arial" w:cs="Arial"/>
          <w:sz w:val="20"/>
          <w:szCs w:val="20"/>
        </w:rPr>
      </w:pPr>
      <w:r>
        <w:rPr>
          <w:rFonts w:ascii="Arial" w:hAnsi="Arial" w:cs="Arial"/>
          <w:sz w:val="20"/>
          <w:szCs w:val="20"/>
        </w:rPr>
        <w:t>(1)</w:t>
      </w:r>
      <w:r>
        <w:rPr>
          <w:rFonts w:ascii="Arial" w:hAnsi="Arial" w:cs="Arial"/>
          <w:sz w:val="20"/>
          <w:szCs w:val="20"/>
        </w:rPr>
        <w:tab/>
        <w:t>(Insert one of the following, as applicable)</w:t>
      </w:r>
    </w:p>
    <w:p w:rsidRPr="00B71D5E" w:rsidR="00B36EC7" w:rsidP="00B71D5E" w:rsidRDefault="00B36EC7" w14:paraId="6E24FC4C" w14:textId="77777777">
      <w:pPr>
        <w:pStyle w:val="BodyText"/>
        <w:tabs>
          <w:tab w:val="left" w:pos="720"/>
        </w:tabs>
        <w:spacing w:before="120" w:line="240" w:lineRule="auto"/>
        <w:ind w:firstLine="14"/>
        <w:rPr>
          <w:rFonts w:ascii="Arial" w:hAnsi="Arial" w:cs="Arial"/>
          <w:sz w:val="20"/>
          <w:szCs w:val="20"/>
        </w:rPr>
      </w:pPr>
      <w:r>
        <w:rPr>
          <w:rFonts w:ascii="Arial" w:hAnsi="Arial" w:cs="Arial"/>
          <w:sz w:val="20"/>
          <w:szCs w:val="20"/>
        </w:rPr>
        <w:tab/>
        <w:t>Under the Agreement, Beneficiary is entitled to demand payment under the Standby Letter of Credit in the amount of the sight draft accompanying this certificate.</w:t>
      </w:r>
    </w:p>
    <w:p w:rsidRPr="00B71D5E" w:rsidR="00B36EC7" w:rsidP="00B71D5E" w:rsidRDefault="00B36EC7" w14:paraId="1BEFD909" w14:textId="77777777">
      <w:pPr>
        <w:pStyle w:val="BodyText"/>
        <w:spacing w:before="120" w:line="240" w:lineRule="auto"/>
        <w:rPr>
          <w:rFonts w:ascii="Arial" w:hAnsi="Arial" w:cs="Arial"/>
          <w:sz w:val="20"/>
          <w:szCs w:val="20"/>
        </w:rPr>
      </w:pPr>
      <w:r>
        <w:rPr>
          <w:rFonts w:ascii="Arial" w:hAnsi="Arial" w:cs="Arial"/>
          <w:sz w:val="20"/>
          <w:szCs w:val="20"/>
        </w:rPr>
        <w:t>or</w:t>
      </w:r>
    </w:p>
    <w:p w:rsidRPr="00B71D5E" w:rsidR="00B36EC7" w:rsidP="00B71D5E" w:rsidRDefault="00B36EC7" w14:paraId="5B65F79F" w14:textId="77777777">
      <w:pPr>
        <w:pStyle w:val="BodyText"/>
        <w:tabs>
          <w:tab w:val="left" w:pos="720"/>
        </w:tabs>
        <w:spacing w:before="120" w:line="240" w:lineRule="auto"/>
        <w:rPr>
          <w:rFonts w:ascii="Arial" w:hAnsi="Arial" w:cs="Arial"/>
          <w:sz w:val="20"/>
          <w:szCs w:val="20"/>
        </w:rPr>
      </w:pPr>
      <w:bookmarkStart w:name="_DV_M801" w:id="603"/>
      <w:bookmarkEnd w:id="603"/>
      <w:r>
        <w:rPr>
          <w:rFonts w:ascii="Arial" w:hAnsi="Arial" w:cs="Arial"/>
          <w:sz w:val="20"/>
          <w:szCs w:val="20"/>
        </w:rPr>
        <w:tab/>
      </w:r>
      <w:r>
        <w:rPr>
          <w:rFonts w:ascii="Arial" w:hAnsi="Arial" w:cs="Arial"/>
          <w:sz w:val="20"/>
          <w:szCs w:val="20"/>
          <w:highlight w:val="yellow"/>
        </w:rPr>
        <w:t>[Beneficiary]</w:t>
      </w:r>
      <w:r>
        <w:rPr>
          <w:rFonts w:ascii="Arial" w:hAnsi="Arial" w:cs="Arial"/>
          <w:sz w:val="20"/>
          <w:szCs w:val="20"/>
        </w:rPr>
        <w:t xml:space="preserve"> has received written notice from the Bank in accordance with the terms of the Standby Letter of Credit that the Bank has elected not to extend the Expiry Date of the Standby Letter of Credit for an additional period past its then Expiry Date and the Account Party has failed to deliver a substitute letter of credit in accordance with the terms of the Agreement.</w:t>
      </w:r>
    </w:p>
    <w:p w:rsidRPr="00B71D5E" w:rsidR="00B36EC7" w:rsidP="00B71D5E" w:rsidRDefault="00B36EC7" w14:paraId="71D9884B" w14:textId="77777777">
      <w:pPr>
        <w:pStyle w:val="BodyText"/>
        <w:tabs>
          <w:tab w:val="left" w:pos="720"/>
          <w:tab w:val="left" w:pos="1440"/>
        </w:tabs>
        <w:spacing w:before="120" w:line="240" w:lineRule="auto"/>
        <w:ind w:firstLine="14"/>
        <w:rPr>
          <w:rFonts w:ascii="Arial" w:hAnsi="Arial" w:cs="Arial"/>
          <w:sz w:val="20"/>
          <w:szCs w:val="20"/>
        </w:rPr>
      </w:pPr>
      <w:bookmarkStart w:name="_DV_M802" w:id="604"/>
      <w:bookmarkEnd w:id="604"/>
      <w:r>
        <w:rPr>
          <w:rFonts w:ascii="Arial" w:hAnsi="Arial" w:cs="Arial"/>
          <w:sz w:val="20"/>
          <w:szCs w:val="20"/>
        </w:rPr>
        <w:tab/>
        <w:t>(2)</w:t>
      </w:r>
      <w:r>
        <w:rPr>
          <w:rFonts w:ascii="Arial" w:hAnsi="Arial" w:cs="Arial"/>
          <w:sz w:val="20"/>
          <w:szCs w:val="20"/>
        </w:rPr>
        <w:tab/>
        <w:t>The undersigned is an officer or authorized representative of [Beneficiary] and is authorized to execute and deliver this certificate and to draw upon the Standby Letter of Credit.</w:t>
      </w:r>
    </w:p>
    <w:p w:rsidRPr="00B71D5E" w:rsidR="00B36EC7" w:rsidP="00B71D5E" w:rsidRDefault="00B36EC7" w14:paraId="414E96EA" w14:textId="77777777">
      <w:pPr>
        <w:pStyle w:val="BodyText"/>
        <w:tabs>
          <w:tab w:val="left" w:pos="720"/>
        </w:tabs>
        <w:spacing w:before="120" w:line="240" w:lineRule="auto"/>
        <w:ind w:firstLine="14"/>
        <w:rPr>
          <w:rFonts w:ascii="Arial" w:hAnsi="Arial" w:cs="Arial"/>
          <w:sz w:val="20"/>
          <w:szCs w:val="20"/>
        </w:rPr>
      </w:pPr>
      <w:bookmarkStart w:name="_DV_M803" w:id="605"/>
      <w:bookmarkEnd w:id="605"/>
      <w:r>
        <w:rPr>
          <w:rFonts w:ascii="Arial" w:hAnsi="Arial" w:cs="Arial"/>
          <w:sz w:val="20"/>
          <w:szCs w:val="20"/>
        </w:rPr>
        <w:tab/>
        <w:t>IN WITNESS WHEREOF, the undersigned has executed and delivered this Certificate as of this __ day of ________ , 20__.</w:t>
      </w:r>
    </w:p>
    <w:p w:rsidRPr="00B71D5E" w:rsidR="00B36EC7" w:rsidP="00B71D5E" w:rsidRDefault="00B36EC7" w14:paraId="7F00579C" w14:textId="77777777">
      <w:pPr>
        <w:spacing w:before="120" w:after="120" w:line="240" w:lineRule="auto"/>
        <w:ind w:left="5040"/>
        <w:rPr>
          <w:rFonts w:ascii="Arial" w:hAnsi="Arial" w:cs="Arial"/>
          <w:sz w:val="20"/>
          <w:szCs w:val="20"/>
        </w:rPr>
      </w:pPr>
      <w:bookmarkStart w:name="_DV_M804" w:id="606"/>
      <w:bookmarkEnd w:id="606"/>
    </w:p>
    <w:tbl>
      <w:tblPr>
        <w:tblW w:w="9936" w:type="dxa"/>
        <w:tblLayout w:type="fixed"/>
        <w:tblCellMar>
          <w:left w:w="29" w:type="dxa"/>
          <w:right w:w="29" w:type="dxa"/>
        </w:tblCellMar>
        <w:tblLook w:val="01E0" w:firstRow="1" w:lastRow="1" w:firstColumn="1" w:lastColumn="1" w:noHBand="0" w:noVBand="0"/>
      </w:tblPr>
      <w:tblGrid>
        <w:gridCol w:w="9936"/>
      </w:tblGrid>
      <w:tr w:rsidRPr="00B71D5E" w:rsidR="00B36EC7" w14:paraId="55C349EB" w14:textId="77777777">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Pr="00B71D5E" w:rsidR="00B36EC7" w14:paraId="3E32F167" w14:textId="77777777">
              <w:trPr>
                <w:trHeight w:val="432"/>
                <w:jc w:val="right"/>
              </w:trPr>
              <w:tc>
                <w:tcPr>
                  <w:tcW w:w="4907" w:type="dxa"/>
                  <w:gridSpan w:val="2"/>
                  <w:tcMar>
                    <w:top w:w="0" w:type="dxa"/>
                    <w:left w:w="29" w:type="dxa"/>
                    <w:bottom w:w="0" w:type="dxa"/>
                    <w:right w:w="29" w:type="dxa"/>
                  </w:tcMar>
                </w:tcPr>
                <w:p w:rsidRPr="00B71D5E" w:rsidR="00B36EC7" w:rsidP="00B71D5E" w:rsidRDefault="00B36EC7" w14:paraId="4B2DFC40" w14:textId="77777777">
                  <w:pPr>
                    <w:keepNext/>
                    <w:spacing w:before="120" w:after="120" w:line="240" w:lineRule="auto"/>
                    <w:rPr>
                      <w:rFonts w:ascii="Arial" w:hAnsi="Arial" w:cs="Arial"/>
                      <w:b/>
                      <w:sz w:val="20"/>
                      <w:szCs w:val="20"/>
                      <w:highlight w:val="yellow"/>
                    </w:rPr>
                  </w:pPr>
                  <w:r>
                    <w:rPr>
                      <w:rFonts w:ascii="Arial" w:hAnsi="Arial" w:cs="Arial"/>
                      <w:b/>
                      <w:sz w:val="20"/>
                      <w:szCs w:val="20"/>
                      <w:highlight w:val="yellow"/>
                    </w:rPr>
                    <w:t>[BENEFICIARY]</w:t>
                  </w:r>
                </w:p>
              </w:tc>
            </w:tr>
            <w:tr w:rsidRPr="00B71D5E" w:rsidR="00B36EC7" w:rsidTr="00360C3B" w14:paraId="0E5A456C" w14:textId="77777777">
              <w:trPr>
                <w:trHeight w:val="432"/>
                <w:jc w:val="right"/>
              </w:trPr>
              <w:tc>
                <w:tcPr>
                  <w:tcW w:w="700" w:type="dxa"/>
                  <w:tcMar>
                    <w:top w:w="0" w:type="dxa"/>
                    <w:left w:w="29" w:type="dxa"/>
                    <w:bottom w:w="0" w:type="dxa"/>
                    <w:right w:w="29" w:type="dxa"/>
                  </w:tcMar>
                  <w:vAlign w:val="bottom"/>
                </w:tcPr>
                <w:p w:rsidRPr="00B71D5E" w:rsidR="00B36EC7" w:rsidP="00B71D5E" w:rsidRDefault="00B36EC7" w14:paraId="4363C134"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bottom w:val="single" w:color="auto" w:sz="4" w:space="0"/>
                  </w:tcBorders>
                  <w:tcMar>
                    <w:top w:w="0" w:type="dxa"/>
                    <w:left w:w="29" w:type="dxa"/>
                    <w:bottom w:w="0" w:type="dxa"/>
                    <w:right w:w="29" w:type="dxa"/>
                  </w:tcMar>
                  <w:vAlign w:val="bottom"/>
                </w:tcPr>
                <w:p w:rsidRPr="00B71D5E" w:rsidR="00B36EC7" w:rsidP="00B71D5E" w:rsidRDefault="00B36EC7" w14:paraId="64F7B7FD" w14:textId="77777777">
                  <w:pPr>
                    <w:spacing w:before="120" w:after="120" w:line="240" w:lineRule="auto"/>
                    <w:jc w:val="right"/>
                    <w:rPr>
                      <w:rFonts w:ascii="Arial" w:hAnsi="Arial" w:cs="Arial"/>
                      <w:b/>
                      <w:sz w:val="20"/>
                      <w:szCs w:val="20"/>
                      <w:u w:val="single"/>
                    </w:rPr>
                  </w:pPr>
                </w:p>
              </w:tc>
            </w:tr>
            <w:tr w:rsidRPr="00B71D5E" w:rsidR="00B36EC7" w:rsidTr="00360C3B" w14:paraId="7CBE5765" w14:textId="77777777">
              <w:trPr>
                <w:jc w:val="right"/>
              </w:trPr>
              <w:tc>
                <w:tcPr>
                  <w:tcW w:w="700" w:type="dxa"/>
                  <w:tcMar>
                    <w:top w:w="0" w:type="dxa"/>
                    <w:left w:w="29" w:type="dxa"/>
                    <w:bottom w:w="0" w:type="dxa"/>
                    <w:right w:w="29" w:type="dxa"/>
                  </w:tcMar>
                  <w:vAlign w:val="bottom"/>
                </w:tcPr>
                <w:p w:rsidRPr="00B71D5E" w:rsidR="00B36EC7" w:rsidP="00B71D5E" w:rsidRDefault="00B36EC7" w14:paraId="3825F1EA" w14:textId="77777777">
                  <w:pPr>
                    <w:spacing w:before="120" w:after="120" w:line="240" w:lineRule="auto"/>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B36EC7" w:rsidP="00B71D5E" w:rsidRDefault="00B36EC7" w14:paraId="22BE61E5"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#Name#</w:t>
                  </w:r>
                </w:p>
              </w:tc>
            </w:tr>
            <w:tr w:rsidRPr="00B71D5E" w:rsidR="00B36EC7" w:rsidTr="00360C3B" w14:paraId="4995F6BE" w14:textId="77777777">
              <w:trPr>
                <w:jc w:val="right"/>
              </w:trPr>
              <w:tc>
                <w:tcPr>
                  <w:tcW w:w="700" w:type="dxa"/>
                  <w:tcMar>
                    <w:top w:w="0" w:type="dxa"/>
                    <w:left w:w="29" w:type="dxa"/>
                    <w:bottom w:w="0" w:type="dxa"/>
                    <w:right w:w="29" w:type="dxa"/>
                  </w:tcMar>
                  <w:vAlign w:val="bottom"/>
                </w:tcPr>
                <w:p w:rsidRPr="00B71D5E" w:rsidR="00B36EC7" w:rsidP="00B71D5E" w:rsidRDefault="00B36EC7" w14:paraId="2D2BA94A" w14:textId="77777777">
                  <w:pPr>
                    <w:spacing w:before="120" w:after="120" w:line="240" w:lineRule="auto"/>
                    <w:rPr>
                      <w:rFonts w:ascii="Arial" w:hAnsi="Arial" w:cs="Arial"/>
                      <w:sz w:val="20"/>
                      <w:szCs w:val="20"/>
                    </w:rPr>
                  </w:pPr>
                </w:p>
              </w:tc>
              <w:tc>
                <w:tcPr>
                  <w:tcW w:w="4207" w:type="dxa"/>
                  <w:tcMar>
                    <w:top w:w="0" w:type="dxa"/>
                    <w:left w:w="29" w:type="dxa"/>
                    <w:bottom w:w="0" w:type="dxa"/>
                    <w:right w:w="29" w:type="dxa"/>
                  </w:tcMar>
                  <w:vAlign w:val="bottom"/>
                </w:tcPr>
                <w:p w:rsidRPr="00B71D5E" w:rsidR="00B36EC7" w:rsidP="00B71D5E" w:rsidRDefault="00B36EC7" w14:paraId="7F0A4F6D"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#Title#</w:t>
                  </w:r>
                </w:p>
              </w:tc>
            </w:tr>
            <w:tr w:rsidRPr="00B71D5E" w:rsidR="00B36EC7" w:rsidTr="00360C3B" w14:paraId="1BA7E285" w14:textId="77777777">
              <w:trPr>
                <w:trHeight w:val="432"/>
                <w:jc w:val="right"/>
              </w:trPr>
              <w:tc>
                <w:tcPr>
                  <w:tcW w:w="700" w:type="dxa"/>
                  <w:tcMar>
                    <w:top w:w="0" w:type="dxa"/>
                    <w:left w:w="29" w:type="dxa"/>
                    <w:bottom w:w="0" w:type="dxa"/>
                    <w:right w:w="29" w:type="dxa"/>
                  </w:tcMar>
                  <w:vAlign w:val="bottom"/>
                </w:tcPr>
                <w:p w:rsidRPr="00B71D5E" w:rsidR="00B36EC7" w:rsidP="00B71D5E" w:rsidRDefault="00B36EC7" w14:paraId="1927B177"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bottom w:val="single" w:color="auto" w:sz="4" w:space="0"/>
                  </w:tcBorders>
                  <w:tcMar>
                    <w:top w:w="0" w:type="dxa"/>
                    <w:left w:w="29" w:type="dxa"/>
                    <w:bottom w:w="0" w:type="dxa"/>
                    <w:right w:w="29" w:type="dxa"/>
                  </w:tcMar>
                  <w:vAlign w:val="bottom"/>
                </w:tcPr>
                <w:p w:rsidRPr="00B71D5E" w:rsidR="00B36EC7" w:rsidP="00B71D5E" w:rsidRDefault="00B36EC7" w14:paraId="22CFDEED" w14:textId="77777777">
                  <w:pPr>
                    <w:spacing w:before="120" w:after="120" w:line="240" w:lineRule="auto"/>
                    <w:jc w:val="right"/>
                    <w:rPr>
                      <w:rFonts w:ascii="Arial" w:hAnsi="Arial" w:cs="Arial"/>
                      <w:b/>
                      <w:sz w:val="20"/>
                      <w:szCs w:val="20"/>
                      <w:u w:val="single"/>
                    </w:rPr>
                  </w:pPr>
                </w:p>
              </w:tc>
            </w:tr>
            <w:tr w:rsidRPr="00B71D5E" w:rsidR="00360C3B" w:rsidTr="00360C3B" w14:paraId="636514DA" w14:textId="77777777">
              <w:trPr>
                <w:trHeight w:val="432"/>
                <w:jc w:val="right"/>
              </w:trPr>
              <w:tc>
                <w:tcPr>
                  <w:tcW w:w="700" w:type="dxa"/>
                  <w:tcMar>
                    <w:top w:w="0" w:type="dxa"/>
                    <w:left w:w="29" w:type="dxa"/>
                    <w:bottom w:w="0" w:type="dxa"/>
                    <w:right w:w="29" w:type="dxa"/>
                  </w:tcMar>
                  <w:vAlign w:val="bottom"/>
                </w:tcPr>
                <w:p w:rsidRPr="00B71D5E" w:rsidR="00360C3B" w:rsidP="00B71D5E" w:rsidRDefault="00360C3B" w14:paraId="12A9D98B" w14:textId="77777777">
                  <w:pPr>
                    <w:spacing w:before="120" w:after="120" w:line="240" w:lineRule="auto"/>
                    <w:jc w:val="right"/>
                    <w:rPr>
                      <w:rFonts w:ascii="Arial" w:hAnsi="Arial" w:cs="Arial"/>
                      <w:sz w:val="20"/>
                      <w:szCs w:val="20"/>
                    </w:rPr>
                  </w:pPr>
                </w:p>
              </w:tc>
              <w:tc>
                <w:tcPr>
                  <w:tcW w:w="4207" w:type="dxa"/>
                  <w:tcBorders>
                    <w:top w:val="single" w:color="auto" w:sz="4" w:space="0"/>
                    <w:bottom w:val="single" w:color="auto" w:sz="4" w:space="0"/>
                  </w:tcBorders>
                  <w:tcMar>
                    <w:top w:w="0" w:type="dxa"/>
                    <w:left w:w="29" w:type="dxa"/>
                    <w:bottom w:w="0" w:type="dxa"/>
                    <w:right w:w="29" w:type="dxa"/>
                  </w:tcMar>
                  <w:vAlign w:val="bottom"/>
                </w:tcPr>
                <w:p w:rsidRPr="00B71D5E" w:rsidR="00360C3B" w:rsidP="00B71D5E" w:rsidRDefault="00360C3B" w14:paraId="190B5914" w14:textId="77777777">
                  <w:pPr>
                    <w:spacing w:before="120" w:after="120" w:line="240" w:lineRule="auto"/>
                    <w:jc w:val="right"/>
                    <w:rPr>
                      <w:rFonts w:ascii="Arial" w:hAnsi="Arial" w:cs="Arial"/>
                      <w:b/>
                      <w:sz w:val="20"/>
                      <w:szCs w:val="20"/>
                      <w:u w:val="single"/>
                    </w:rPr>
                  </w:pPr>
                </w:p>
              </w:tc>
            </w:tr>
          </w:tbl>
          <w:p w:rsidRPr="00B71D5E" w:rsidR="00B36EC7" w:rsidP="00B71D5E" w:rsidRDefault="00B36EC7" w14:paraId="37DDDF10" w14:textId="77777777">
            <w:pPr>
              <w:pStyle w:val="zGTableSig12"/>
              <w:spacing w:after="120"/>
              <w:rPr>
                <w:w w:val="0"/>
                <w:sz w:val="20"/>
                <w:highlight w:val="yellow"/>
              </w:rPr>
            </w:pPr>
          </w:p>
        </w:tc>
      </w:tr>
    </w:tbl>
    <w:p w:rsidRPr="00B71D5E" w:rsidR="00B36EC7" w:rsidP="00B71D5E" w:rsidRDefault="00B36EC7" w14:paraId="3FF7A5CC" w14:textId="77777777">
      <w:pPr>
        <w:spacing w:before="120" w:after="120" w:line="240" w:lineRule="auto"/>
        <w:ind w:left="5040"/>
        <w:rPr>
          <w:rFonts w:ascii="Arial" w:hAnsi="Arial" w:cs="Arial"/>
          <w:sz w:val="20"/>
          <w:szCs w:val="20"/>
        </w:rPr>
      </w:pPr>
    </w:p>
    <w:p w:rsidRPr="00B71D5E" w:rsidR="00B36EC7" w:rsidP="00B71D5E" w:rsidRDefault="00B36EC7" w14:paraId="1AA04C64" w14:textId="77777777">
      <w:pPr>
        <w:tabs>
          <w:tab w:val="right" w:pos="9360"/>
        </w:tabs>
        <w:spacing w:before="120" w:after="120" w:line="240" w:lineRule="auto"/>
        <w:ind w:left="5040"/>
        <w:rPr>
          <w:rFonts w:ascii="Arial" w:hAnsi="Arial" w:cs="Arial"/>
          <w:sz w:val="20"/>
          <w:szCs w:val="20"/>
        </w:rPr>
      </w:pPr>
    </w:p>
    <w:p w:rsidRPr="00B71D5E" w:rsidR="00B36EC7" w:rsidP="00B71D5E" w:rsidRDefault="00B36EC7" w14:paraId="129F6489" w14:textId="77777777">
      <w:pPr>
        <w:spacing w:before="120" w:after="120" w:line="240" w:lineRule="auto"/>
        <w:ind w:left="5040"/>
        <w:rPr>
          <w:rFonts w:ascii="Arial" w:hAnsi="Arial" w:cs="Arial"/>
          <w:sz w:val="20"/>
          <w:szCs w:val="20"/>
        </w:rPr>
      </w:pPr>
    </w:p>
    <w:p w:rsidRPr="00B71D5E" w:rsidR="00B36EC7" w:rsidP="00B71D5E" w:rsidRDefault="00B36EC7" w14:paraId="07E084D6" w14:textId="77777777">
      <w:pPr>
        <w:spacing w:before="120" w:after="120" w:line="240" w:lineRule="auto"/>
        <w:rPr>
          <w:rFonts w:ascii="Arial" w:hAnsi="Arial" w:cs="Arial"/>
          <w:b/>
          <w:sz w:val="20"/>
          <w:szCs w:val="20"/>
        </w:rPr>
      </w:pPr>
      <w:r>
        <w:rPr>
          <w:rFonts w:ascii="Arial" w:hAnsi="Arial" w:cs="Arial"/>
          <w:b/>
          <w:sz w:val="20"/>
          <w:szCs w:val="20"/>
        </w:rPr>
        <w:br w:type="page"/>
      </w:r>
    </w:p>
    <w:p w:rsidRPr="00B71D5E" w:rsidR="00B36EC7" w:rsidP="00B71D5E" w:rsidRDefault="00B36EC7" w14:paraId="4B54A789" w14:textId="77777777">
      <w:pPr>
        <w:pStyle w:val="zGTitle11"/>
        <w:spacing w:before="120" w:after="120"/>
        <w:rPr>
          <w:rFonts w:cs="Arial"/>
          <w:sz w:val="20"/>
          <w:u w:val="single"/>
        </w:rPr>
      </w:pPr>
      <w:r>
        <w:rPr>
          <w:rFonts w:cs="Arial"/>
          <w:sz w:val="20"/>
          <w:u w:val="single"/>
        </w:rPr>
        <w:lastRenderedPageBreak/>
        <w:t>ANNEX 3</w:t>
      </w:r>
    </w:p>
    <w:p w:rsidRPr="00B71D5E" w:rsidR="00B36EC7" w:rsidP="00B71D5E" w:rsidRDefault="00D23DA6" w14:paraId="09AC098A" w14:textId="2F395DD0">
      <w:pPr>
        <w:pStyle w:val="zGTitle11"/>
        <w:spacing w:before="120" w:after="120"/>
        <w:rPr>
          <w:rFonts w:cs="Arial"/>
          <w:sz w:val="20"/>
        </w:rPr>
      </w:pPr>
      <w:r>
        <w:rPr>
          <w:rFonts w:cs="Arial"/>
          <w:sz w:val="20"/>
        </w:rPr>
        <w:t xml:space="preserve">FORM OF </w:t>
      </w:r>
      <w:r w:rsidR="00B36EC7">
        <w:rPr>
          <w:rFonts w:cs="Arial"/>
          <w:sz w:val="20"/>
        </w:rPr>
        <w:t>INSTRUCTION TO ASSIGN IN ENTIRETY</w:t>
      </w:r>
    </w:p>
    <w:p w:rsidRPr="00B71D5E" w:rsidR="00B36EC7" w:rsidP="00B71D5E" w:rsidRDefault="00B36EC7" w14:paraId="27F6B3A6" w14:textId="22ECC7C7">
      <w:pPr>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120" w:after="120" w:line="240" w:lineRule="auto"/>
        <w:ind w:left="1440" w:hanging="720"/>
        <w:rPr>
          <w:rFonts w:ascii="Arial" w:hAnsi="Arial" w:cs="Arial"/>
          <w:sz w:val="20"/>
          <w:szCs w:val="20"/>
        </w:rPr>
      </w:pPr>
      <w:r>
        <w:rPr>
          <w:rFonts w:ascii="Arial" w:hAnsi="Arial" w:cs="Arial"/>
          <w:sz w:val="20"/>
          <w:szCs w:val="20"/>
        </w:rPr>
        <w:t>Re:</w:t>
      </w:r>
      <w:r>
        <w:rPr>
          <w:rFonts w:ascii="Arial" w:hAnsi="Arial" w:cs="Arial"/>
          <w:sz w:val="20"/>
          <w:szCs w:val="20"/>
        </w:rPr>
        <w:tab/>
        <w:t>Irrevocable Standby Letter of Credit No.</w:t>
      </w:r>
      <w:r w:rsidR="00655C88">
        <w:rPr>
          <w:rFonts w:ascii="Arial" w:hAnsi="Arial" w:cs="Arial"/>
          <w:sz w:val="20"/>
          <w:szCs w:val="20"/>
        </w:rPr>
        <w:t xml:space="preserve"> __</w:t>
      </w:r>
    </w:p>
    <w:p w:rsidRPr="00B71D5E" w:rsidR="00B36EC7" w:rsidP="00B71D5E" w:rsidRDefault="00B36EC7" w14:paraId="3E56A9D7" w14:textId="77777777">
      <w:pPr>
        <w:suppressAutoHyphens/>
        <w:spacing w:before="120" w:after="120" w:line="240" w:lineRule="auto"/>
        <w:rPr>
          <w:rFonts w:ascii="Arial" w:hAnsi="Arial" w:cs="Arial"/>
          <w:b/>
          <w:bCs/>
          <w:sz w:val="20"/>
          <w:szCs w:val="20"/>
        </w:rPr>
      </w:pPr>
    </w:p>
    <w:p w:rsidRPr="00B71D5E" w:rsidR="00B36EC7" w:rsidP="00ED71D6" w:rsidRDefault="00B36EC7" w14:paraId="1DBE8256" w14:textId="77777777">
      <w:pPr>
        <w:suppressAutoHyphens/>
        <w:spacing w:before="120" w:after="120" w:line="240" w:lineRule="auto"/>
        <w:jc w:val="both"/>
        <w:rPr>
          <w:rFonts w:ascii="Arial" w:hAnsi="Arial" w:cs="Arial"/>
          <w:b/>
          <w:bCs/>
          <w:sz w:val="20"/>
          <w:szCs w:val="20"/>
        </w:rPr>
      </w:pPr>
      <w:r>
        <w:rPr>
          <w:rFonts w:ascii="Arial" w:hAnsi="Arial" w:cs="Arial"/>
          <w:b/>
          <w:bCs/>
          <w:sz w:val="20"/>
          <w:szCs w:val="20"/>
        </w:rPr>
        <w:t>Ladies and Gentlemen:</w:t>
      </w:r>
    </w:p>
    <w:p w:rsidRPr="00B71D5E" w:rsidR="00B36EC7" w:rsidP="00ED71D6" w:rsidRDefault="00B36EC7" w14:paraId="309ADFEE" w14:textId="77777777">
      <w:pPr>
        <w:suppressAutoHyphens/>
        <w:spacing w:before="120" w:after="120" w:line="240" w:lineRule="auto"/>
        <w:ind w:firstLine="720"/>
        <w:jc w:val="both"/>
        <w:rPr>
          <w:rFonts w:ascii="Arial" w:hAnsi="Arial" w:cs="Arial"/>
          <w:sz w:val="20"/>
          <w:szCs w:val="20"/>
        </w:rPr>
      </w:pPr>
      <w:r>
        <w:rPr>
          <w:rFonts w:ascii="Arial" w:hAnsi="Arial" w:cs="Arial"/>
          <w:sz w:val="20"/>
          <w:szCs w:val="20"/>
        </w:rPr>
        <w:t>For value received, the undersigned beneficiary irrevocably assigns to:</w:t>
      </w:r>
    </w:p>
    <w:p w:rsidRPr="00B71D5E" w:rsidR="00B36EC7" w:rsidP="00ED71D6" w:rsidRDefault="00B36EC7" w14:paraId="408D7A43" w14:textId="77777777">
      <w:pPr>
        <w:suppressAutoHyphens/>
        <w:spacing w:before="120" w:after="120" w:line="240" w:lineRule="auto"/>
        <w:jc w:val="both"/>
        <w:rPr>
          <w:rFonts w:ascii="Arial" w:hAnsi="Arial" w:cs="Arial"/>
          <w:sz w:val="20"/>
          <w:szCs w:val="20"/>
        </w:rPr>
      </w:pPr>
      <w:r>
        <w:rPr>
          <w:rFonts w:ascii="Arial" w:hAnsi="Arial" w:cs="Arial"/>
          <w:sz w:val="20"/>
          <w:szCs w:val="20"/>
        </w:rPr>
        <w:t>(Name of Assignee)</w:t>
      </w:r>
    </w:p>
    <w:p w:rsidRPr="00B71D5E" w:rsidR="00B36EC7" w:rsidP="00ED71D6" w:rsidRDefault="00B36EC7" w14:paraId="0E983D27" w14:textId="77777777">
      <w:pPr>
        <w:suppressAutoHyphens/>
        <w:spacing w:before="120" w:after="120" w:line="240" w:lineRule="auto"/>
        <w:jc w:val="both"/>
        <w:rPr>
          <w:rFonts w:ascii="Arial" w:hAnsi="Arial" w:cs="Arial"/>
          <w:sz w:val="20"/>
          <w:szCs w:val="20"/>
        </w:rPr>
      </w:pPr>
    </w:p>
    <w:p w:rsidRPr="00B71D5E" w:rsidR="00B36EC7" w:rsidP="00ED71D6" w:rsidRDefault="00B36EC7" w14:paraId="016EA85C" w14:textId="77777777">
      <w:pPr>
        <w:suppressAutoHyphens/>
        <w:spacing w:before="120" w:after="120" w:line="240" w:lineRule="auto"/>
        <w:jc w:val="both"/>
        <w:rPr>
          <w:rFonts w:ascii="Arial" w:hAnsi="Arial" w:cs="Arial"/>
          <w:sz w:val="20"/>
          <w:szCs w:val="20"/>
        </w:rPr>
      </w:pPr>
      <w:r>
        <w:rPr>
          <w:rFonts w:ascii="Arial" w:hAnsi="Arial" w:cs="Arial"/>
          <w:sz w:val="20"/>
          <w:szCs w:val="20"/>
        </w:rPr>
        <w:t>(Address)</w:t>
      </w:r>
    </w:p>
    <w:p w:rsidRPr="00B71D5E" w:rsidR="00B36EC7" w:rsidP="00ED71D6" w:rsidRDefault="00B36EC7" w14:paraId="0D3D84D3" w14:textId="77777777">
      <w:pPr>
        <w:suppressAutoHyphens/>
        <w:spacing w:before="120" w:after="120" w:line="240" w:lineRule="auto"/>
        <w:jc w:val="both"/>
        <w:rPr>
          <w:rFonts w:ascii="Arial" w:hAnsi="Arial" w:cs="Arial"/>
          <w:sz w:val="20"/>
          <w:szCs w:val="20"/>
        </w:rPr>
      </w:pPr>
    </w:p>
    <w:p w:rsidRPr="00B71D5E" w:rsidR="00B36EC7" w:rsidP="00ED71D6" w:rsidRDefault="00B36EC7" w14:paraId="0C1D5D5C" w14:textId="77777777">
      <w:pPr>
        <w:suppressAutoHyphens/>
        <w:spacing w:before="120" w:after="120" w:line="240" w:lineRule="auto"/>
        <w:jc w:val="both"/>
        <w:rPr>
          <w:rFonts w:ascii="Arial" w:hAnsi="Arial" w:cs="Arial"/>
          <w:sz w:val="20"/>
          <w:szCs w:val="20"/>
        </w:rPr>
      </w:pPr>
      <w:r>
        <w:rPr>
          <w:rFonts w:ascii="Arial" w:hAnsi="Arial" w:cs="Arial"/>
          <w:sz w:val="20"/>
          <w:szCs w:val="20"/>
        </w:rPr>
        <w:t>all rights of the undersigned beneficiary to demand payment under the above Standby Letter of Credit in its entirety.</w:t>
      </w:r>
    </w:p>
    <w:p w:rsidRPr="00B71D5E" w:rsidR="00B36EC7" w:rsidP="00ED71D6" w:rsidRDefault="00B36EC7" w14:paraId="5D935512" w14:textId="69E1809B">
      <w:pPr>
        <w:pStyle w:val="BodyText"/>
        <w:spacing w:before="120" w:line="240" w:lineRule="auto"/>
        <w:ind w:firstLine="720"/>
        <w:jc w:val="both"/>
        <w:rPr>
          <w:rFonts w:ascii="Arial" w:hAnsi="Arial" w:cs="Arial"/>
          <w:spacing w:val="-4"/>
          <w:kern w:val="14"/>
          <w:sz w:val="20"/>
          <w:szCs w:val="20"/>
        </w:rPr>
      </w:pPr>
      <w:r>
        <w:rPr>
          <w:rFonts w:ascii="Arial" w:hAnsi="Arial" w:cs="Arial"/>
          <w:sz w:val="20"/>
          <w:szCs w:val="20"/>
        </w:rPr>
        <w:t>By this assignment, all rights of the undersigned beneficiary in the Standby Letter of Credit are transferred to the assignee and the assignee will hereafter have the sole rights as beneficiary</w:t>
      </w:r>
      <w:r w:rsidR="00081A92">
        <w:rPr>
          <w:rFonts w:ascii="Arial" w:hAnsi="Arial" w:cs="Arial"/>
          <w:sz w:val="20"/>
          <w:szCs w:val="20"/>
        </w:rPr>
        <w:t xml:space="preserve"> thereof</w:t>
      </w:r>
      <w:r>
        <w:rPr>
          <w:rFonts w:ascii="Arial" w:hAnsi="Arial" w:cs="Arial"/>
          <w:sz w:val="20"/>
          <w:szCs w:val="20"/>
        </w:rPr>
        <w:t xml:space="preserve">. The Account Party will be responsible for all fees and expenses related to the assignment. </w:t>
      </w:r>
    </w:p>
    <w:p w:rsidRPr="00B71D5E" w:rsidR="00B36EC7" w:rsidP="00ED71D6" w:rsidRDefault="00B36EC7" w14:paraId="78337009" w14:textId="77777777">
      <w:pPr>
        <w:pStyle w:val="BodyText"/>
        <w:spacing w:before="120" w:line="240" w:lineRule="auto"/>
        <w:ind w:firstLine="720"/>
        <w:jc w:val="both"/>
        <w:rPr>
          <w:rFonts w:ascii="Arial" w:hAnsi="Arial" w:cs="Arial"/>
          <w:sz w:val="20"/>
          <w:szCs w:val="20"/>
        </w:rPr>
      </w:pPr>
      <w:bookmarkStart w:name="_DV_M818" w:id="607"/>
      <w:bookmarkEnd w:id="607"/>
      <w:r>
        <w:rPr>
          <w:rFonts w:ascii="Arial" w:hAnsi="Arial" w:cs="Arial"/>
          <w:sz w:val="20"/>
          <w:szCs w:val="20"/>
        </w:rPr>
        <w:t>The Account Party will be responsible for all fees and expenses related to this assignment.</w:t>
      </w:r>
    </w:p>
    <w:p w:rsidRPr="00B71D5E" w:rsidR="00B36EC7" w:rsidP="00ED71D6" w:rsidRDefault="00B36EC7" w14:paraId="685DFF5B" w14:textId="77777777">
      <w:pPr>
        <w:spacing w:before="120" w:after="120" w:line="240" w:lineRule="auto"/>
        <w:ind w:firstLine="720"/>
        <w:jc w:val="both"/>
        <w:rPr>
          <w:rFonts w:ascii="Arial" w:hAnsi="Arial" w:cs="Arial"/>
          <w:sz w:val="20"/>
          <w:szCs w:val="20"/>
        </w:rPr>
      </w:pPr>
      <w:bookmarkStart w:name="_DV_M819" w:id="608"/>
      <w:bookmarkEnd w:id="608"/>
      <w:r>
        <w:rPr>
          <w:rFonts w:ascii="Arial" w:hAnsi="Arial" w:cs="Arial"/>
          <w:sz w:val="20"/>
          <w:szCs w:val="20"/>
        </w:rPr>
        <w:t>This Standby Letter of Credit is returned and in accordance with the return, we ask you to issue a new irrevocable Standby Letter of Credit in favor of the assignee with provisions consistent with the Standby Letter of Credit.</w:t>
      </w:r>
      <w:bookmarkStart w:name="_DV_M820" w:id="609"/>
      <w:bookmarkEnd w:id="609"/>
    </w:p>
    <w:p w:rsidRPr="00B71D5E" w:rsidR="00B36EC7" w:rsidP="00B71D5E" w:rsidRDefault="00B36EC7" w14:paraId="791A2A16" w14:textId="77777777">
      <w:pPr>
        <w:spacing w:before="120" w:after="120" w:line="240" w:lineRule="auto"/>
        <w:ind w:left="5040"/>
        <w:rPr>
          <w:rFonts w:ascii="Arial" w:hAnsi="Arial" w:cs="Arial"/>
          <w:sz w:val="20"/>
          <w:szCs w:val="20"/>
        </w:rPr>
      </w:pPr>
    </w:p>
    <w:p w:rsidRPr="00B71D5E" w:rsidR="00B36EC7" w:rsidP="00B71D5E" w:rsidRDefault="00B36EC7" w14:paraId="7BCD7AA3" w14:textId="77777777">
      <w:pPr>
        <w:spacing w:before="120" w:after="120" w:line="240" w:lineRule="auto"/>
        <w:ind w:left="5040"/>
        <w:rPr>
          <w:rFonts w:ascii="Arial" w:hAnsi="Arial" w:eastAsia="Times New Roman" w:cs="Arial"/>
          <w:sz w:val="20"/>
          <w:szCs w:val="20"/>
        </w:rPr>
      </w:pPr>
      <w:r>
        <w:rPr>
          <w:rFonts w:ascii="Arial" w:hAnsi="Arial" w:eastAsia="Times New Roman" w:cs="Arial"/>
          <w:sz w:val="20"/>
          <w:szCs w:val="20"/>
        </w:rPr>
        <w:t>Sincerely,</w:t>
      </w:r>
    </w:p>
    <w:tbl>
      <w:tblPr>
        <w:tblW w:w="9936" w:type="dxa"/>
        <w:tblLayout w:type="fixed"/>
        <w:tblCellMar>
          <w:left w:w="29" w:type="dxa"/>
          <w:right w:w="29" w:type="dxa"/>
        </w:tblCellMar>
        <w:tblLook w:val="01E0" w:firstRow="1" w:lastRow="1" w:firstColumn="1" w:lastColumn="1" w:noHBand="0" w:noVBand="0"/>
      </w:tblPr>
      <w:tblGrid>
        <w:gridCol w:w="9936"/>
      </w:tblGrid>
      <w:tr w:rsidRPr="00B71D5E" w:rsidR="00B36EC7" w14:paraId="31D0DBC1" w14:textId="77777777">
        <w:trPr>
          <w:cantSplit/>
          <w:trHeight w:val="432"/>
        </w:trPr>
        <w:tc>
          <w:tcPr>
            <w:tcW w:w="9936" w:type="dxa"/>
          </w:tcPr>
          <w:tbl>
            <w:tblPr>
              <w:tblW w:w="4907" w:type="dxa"/>
              <w:jc w:val="right"/>
              <w:tblLayout w:type="fixed"/>
              <w:tblCellMar>
                <w:left w:w="29" w:type="dxa"/>
                <w:right w:w="29" w:type="dxa"/>
              </w:tblCellMar>
              <w:tblLook w:val="0000" w:firstRow="0" w:lastRow="0" w:firstColumn="0" w:lastColumn="0" w:noHBand="0" w:noVBand="0"/>
            </w:tblPr>
            <w:tblGrid>
              <w:gridCol w:w="700"/>
              <w:gridCol w:w="4207"/>
            </w:tblGrid>
            <w:tr w:rsidRPr="00B71D5E" w:rsidR="00B36EC7" w14:paraId="6FBDE67B" w14:textId="77777777">
              <w:trPr>
                <w:trHeight w:val="432"/>
                <w:jc w:val="right"/>
              </w:trPr>
              <w:tc>
                <w:tcPr>
                  <w:tcW w:w="4907" w:type="dxa"/>
                  <w:gridSpan w:val="2"/>
                  <w:tcMar>
                    <w:top w:w="0" w:type="dxa"/>
                    <w:left w:w="29" w:type="dxa"/>
                    <w:bottom w:w="0" w:type="dxa"/>
                    <w:right w:w="29" w:type="dxa"/>
                  </w:tcMar>
                </w:tcPr>
                <w:bookmarkEnd w:id="586"/>
                <w:bookmarkEnd w:id="587"/>
                <w:p w:rsidRPr="00B71D5E" w:rsidR="00B36EC7" w:rsidP="00B71D5E" w:rsidRDefault="00B36EC7" w14:paraId="14E6A7BE" w14:textId="77777777">
                  <w:pPr>
                    <w:keepNext/>
                    <w:spacing w:before="120" w:after="120" w:line="240" w:lineRule="auto"/>
                    <w:rPr>
                      <w:rFonts w:ascii="Arial" w:hAnsi="Arial" w:cs="Arial"/>
                      <w:b/>
                      <w:sz w:val="20"/>
                      <w:szCs w:val="20"/>
                      <w:highlight w:val="yellow"/>
                    </w:rPr>
                  </w:pPr>
                  <w:r>
                    <w:rPr>
                      <w:rFonts w:ascii="Arial" w:hAnsi="Arial" w:cs="Arial"/>
                      <w:b/>
                      <w:sz w:val="20"/>
                      <w:szCs w:val="20"/>
                      <w:highlight w:val="yellow"/>
                    </w:rPr>
                    <w:t>[BENEFICIARY]</w:t>
                  </w:r>
                </w:p>
              </w:tc>
            </w:tr>
            <w:tr w:rsidRPr="00B71D5E" w:rsidR="00B36EC7" w:rsidTr="00360C3B" w14:paraId="0762D966" w14:textId="77777777">
              <w:trPr>
                <w:trHeight w:val="432"/>
                <w:jc w:val="right"/>
              </w:trPr>
              <w:tc>
                <w:tcPr>
                  <w:tcW w:w="700" w:type="dxa"/>
                  <w:tcMar>
                    <w:top w:w="0" w:type="dxa"/>
                    <w:left w:w="29" w:type="dxa"/>
                    <w:bottom w:w="0" w:type="dxa"/>
                    <w:right w:w="29" w:type="dxa"/>
                  </w:tcMar>
                  <w:vAlign w:val="bottom"/>
                </w:tcPr>
                <w:p w:rsidRPr="00B71D5E" w:rsidR="00B36EC7" w:rsidP="00B71D5E" w:rsidRDefault="00B36EC7" w14:paraId="6340014E"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bottom w:val="single" w:color="auto" w:sz="4" w:space="0"/>
                  </w:tcBorders>
                  <w:tcMar>
                    <w:top w:w="0" w:type="dxa"/>
                    <w:left w:w="29" w:type="dxa"/>
                    <w:bottom w:w="0" w:type="dxa"/>
                    <w:right w:w="29" w:type="dxa"/>
                  </w:tcMar>
                  <w:vAlign w:val="bottom"/>
                </w:tcPr>
                <w:p w:rsidRPr="00B71D5E" w:rsidR="00B36EC7" w:rsidP="00B71D5E" w:rsidRDefault="00B36EC7" w14:paraId="297EFAA8" w14:textId="77777777">
                  <w:pPr>
                    <w:spacing w:before="120" w:after="120" w:line="240" w:lineRule="auto"/>
                    <w:jc w:val="right"/>
                    <w:rPr>
                      <w:rFonts w:ascii="Arial" w:hAnsi="Arial" w:cs="Arial"/>
                      <w:b/>
                      <w:sz w:val="20"/>
                      <w:szCs w:val="20"/>
                      <w:u w:val="single"/>
                    </w:rPr>
                  </w:pPr>
                </w:p>
              </w:tc>
            </w:tr>
            <w:tr w:rsidRPr="00B71D5E" w:rsidR="00B36EC7" w:rsidTr="00360C3B" w14:paraId="7F6CE15F" w14:textId="77777777">
              <w:trPr>
                <w:jc w:val="right"/>
              </w:trPr>
              <w:tc>
                <w:tcPr>
                  <w:tcW w:w="700" w:type="dxa"/>
                  <w:tcMar>
                    <w:top w:w="0" w:type="dxa"/>
                    <w:left w:w="29" w:type="dxa"/>
                    <w:bottom w:w="0" w:type="dxa"/>
                    <w:right w:w="29" w:type="dxa"/>
                  </w:tcMar>
                  <w:vAlign w:val="bottom"/>
                </w:tcPr>
                <w:p w:rsidRPr="00B71D5E" w:rsidR="00B36EC7" w:rsidP="00B71D5E" w:rsidRDefault="00B36EC7" w14:paraId="763AD3C6" w14:textId="77777777">
                  <w:pPr>
                    <w:spacing w:before="120" w:after="120" w:line="240" w:lineRule="auto"/>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B36EC7" w:rsidP="00B71D5E" w:rsidRDefault="00B36EC7" w14:paraId="49DB5C33"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#Name#</w:t>
                  </w:r>
                </w:p>
              </w:tc>
            </w:tr>
            <w:tr w:rsidRPr="00B71D5E" w:rsidR="00B36EC7" w:rsidTr="00670EE9" w14:paraId="722166D8" w14:textId="77777777">
              <w:trPr>
                <w:jc w:val="right"/>
              </w:trPr>
              <w:tc>
                <w:tcPr>
                  <w:tcW w:w="700" w:type="dxa"/>
                  <w:tcMar>
                    <w:top w:w="0" w:type="dxa"/>
                    <w:left w:w="29" w:type="dxa"/>
                    <w:bottom w:w="0" w:type="dxa"/>
                    <w:right w:w="29" w:type="dxa"/>
                  </w:tcMar>
                  <w:vAlign w:val="bottom"/>
                </w:tcPr>
                <w:p w:rsidRPr="00B71D5E" w:rsidR="00B36EC7" w:rsidP="00B71D5E" w:rsidRDefault="00B36EC7" w14:paraId="0F0EF958" w14:textId="77777777">
                  <w:pPr>
                    <w:spacing w:before="120" w:after="120" w:line="240" w:lineRule="auto"/>
                    <w:rPr>
                      <w:rFonts w:ascii="Arial" w:hAnsi="Arial" w:cs="Arial"/>
                      <w:sz w:val="20"/>
                      <w:szCs w:val="20"/>
                    </w:rPr>
                  </w:pPr>
                </w:p>
              </w:tc>
              <w:tc>
                <w:tcPr>
                  <w:tcW w:w="4207" w:type="dxa"/>
                  <w:tcMar>
                    <w:top w:w="0" w:type="dxa"/>
                    <w:left w:w="29" w:type="dxa"/>
                    <w:bottom w:w="0" w:type="dxa"/>
                    <w:right w:w="29" w:type="dxa"/>
                  </w:tcMar>
                  <w:vAlign w:val="bottom"/>
                </w:tcPr>
                <w:p w:rsidRPr="00B71D5E" w:rsidR="00B36EC7" w:rsidP="00B71D5E" w:rsidRDefault="00B36EC7" w14:paraId="4C8053F3"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#Title#</w:t>
                  </w:r>
                </w:p>
              </w:tc>
            </w:tr>
            <w:tr w:rsidRPr="00B71D5E" w:rsidR="00B36EC7" w:rsidTr="00670EE9" w14:paraId="2242C780" w14:textId="77777777">
              <w:trPr>
                <w:trHeight w:val="432"/>
                <w:jc w:val="right"/>
              </w:trPr>
              <w:tc>
                <w:tcPr>
                  <w:tcW w:w="700" w:type="dxa"/>
                  <w:tcMar>
                    <w:top w:w="0" w:type="dxa"/>
                    <w:left w:w="29" w:type="dxa"/>
                    <w:bottom w:w="0" w:type="dxa"/>
                    <w:right w:w="29" w:type="dxa"/>
                  </w:tcMar>
                  <w:vAlign w:val="bottom"/>
                </w:tcPr>
                <w:p w:rsidRPr="00B71D5E" w:rsidR="00B36EC7" w:rsidP="00B71D5E" w:rsidRDefault="00B36EC7" w14:paraId="067356F2"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bottom w:val="single" w:color="auto" w:sz="4" w:space="0"/>
                  </w:tcBorders>
                  <w:tcMar>
                    <w:top w:w="0" w:type="dxa"/>
                    <w:left w:w="29" w:type="dxa"/>
                    <w:bottom w:w="0" w:type="dxa"/>
                    <w:right w:w="29" w:type="dxa"/>
                  </w:tcMar>
                  <w:vAlign w:val="bottom"/>
                </w:tcPr>
                <w:p w:rsidRPr="00B71D5E" w:rsidR="00B36EC7" w:rsidP="00B71D5E" w:rsidRDefault="00B36EC7" w14:paraId="11DB39BD" w14:textId="77777777">
                  <w:pPr>
                    <w:spacing w:before="120" w:after="120" w:line="240" w:lineRule="auto"/>
                    <w:jc w:val="right"/>
                    <w:rPr>
                      <w:rFonts w:ascii="Arial" w:hAnsi="Arial" w:cs="Arial"/>
                      <w:b/>
                      <w:sz w:val="20"/>
                      <w:szCs w:val="20"/>
                      <w:u w:val="single"/>
                    </w:rPr>
                  </w:pPr>
                </w:p>
              </w:tc>
            </w:tr>
            <w:tr w:rsidRPr="00B71D5E" w:rsidR="00360C3B" w:rsidTr="00670EE9" w14:paraId="25B6ECE4" w14:textId="77777777">
              <w:trPr>
                <w:trHeight w:val="432"/>
                <w:jc w:val="right"/>
              </w:trPr>
              <w:tc>
                <w:tcPr>
                  <w:tcW w:w="700" w:type="dxa"/>
                  <w:tcMar>
                    <w:top w:w="0" w:type="dxa"/>
                    <w:left w:w="29" w:type="dxa"/>
                    <w:bottom w:w="0" w:type="dxa"/>
                    <w:right w:w="29" w:type="dxa"/>
                  </w:tcMar>
                  <w:vAlign w:val="bottom"/>
                </w:tcPr>
                <w:p w:rsidRPr="00B71D5E" w:rsidR="00360C3B" w:rsidP="00B71D5E" w:rsidRDefault="00360C3B" w14:paraId="76EC4A0B" w14:textId="77777777">
                  <w:pPr>
                    <w:spacing w:before="120" w:after="120" w:line="240" w:lineRule="auto"/>
                    <w:jc w:val="right"/>
                    <w:rPr>
                      <w:rFonts w:ascii="Arial" w:hAnsi="Arial" w:cs="Arial"/>
                      <w:sz w:val="20"/>
                      <w:szCs w:val="20"/>
                    </w:rPr>
                  </w:pPr>
                </w:p>
              </w:tc>
              <w:tc>
                <w:tcPr>
                  <w:tcW w:w="4207" w:type="dxa"/>
                  <w:tcBorders>
                    <w:top w:val="single" w:color="auto" w:sz="4" w:space="0"/>
                  </w:tcBorders>
                  <w:tcMar>
                    <w:top w:w="0" w:type="dxa"/>
                    <w:left w:w="29" w:type="dxa"/>
                    <w:bottom w:w="0" w:type="dxa"/>
                    <w:right w:w="29" w:type="dxa"/>
                  </w:tcMar>
                  <w:vAlign w:val="bottom"/>
                </w:tcPr>
                <w:p w:rsidRPr="00B71D5E" w:rsidR="00360C3B" w:rsidP="00B71D5E" w:rsidRDefault="00360C3B" w14:paraId="61E19250" w14:textId="77777777">
                  <w:pPr>
                    <w:spacing w:before="120" w:after="120" w:line="240" w:lineRule="auto"/>
                    <w:jc w:val="right"/>
                    <w:rPr>
                      <w:rFonts w:ascii="Arial" w:hAnsi="Arial" w:cs="Arial"/>
                      <w:b/>
                      <w:sz w:val="20"/>
                      <w:szCs w:val="20"/>
                      <w:u w:val="single"/>
                    </w:rPr>
                  </w:pPr>
                </w:p>
              </w:tc>
            </w:tr>
          </w:tbl>
          <w:p w:rsidRPr="00B71D5E" w:rsidR="00B36EC7" w:rsidP="00B71D5E" w:rsidRDefault="00B36EC7" w14:paraId="75AABAE5" w14:textId="77777777">
            <w:pPr>
              <w:pStyle w:val="zGTableSig12"/>
              <w:spacing w:after="120"/>
              <w:rPr>
                <w:w w:val="0"/>
                <w:sz w:val="20"/>
                <w:highlight w:val="yellow"/>
              </w:rPr>
            </w:pPr>
          </w:p>
        </w:tc>
      </w:tr>
    </w:tbl>
    <w:p w:rsidRPr="00B71D5E" w:rsidR="00B36EC7" w:rsidP="00B71D5E" w:rsidRDefault="00B36EC7" w14:paraId="348B38A1" w14:textId="77777777">
      <w:pPr>
        <w:spacing w:before="120" w:after="120" w:line="240" w:lineRule="auto"/>
        <w:rPr>
          <w:rFonts w:ascii="Arial" w:hAnsi="Arial" w:cs="Arial"/>
          <w:sz w:val="20"/>
          <w:szCs w:val="20"/>
        </w:rPr>
      </w:pPr>
    </w:p>
    <w:p w:rsidRPr="00B71D5E" w:rsidR="00B36EC7" w:rsidP="00B71D5E" w:rsidRDefault="00B36EC7" w14:paraId="5C085732" w14:textId="77777777">
      <w:pPr>
        <w:spacing w:before="120" w:after="120" w:line="240" w:lineRule="auto"/>
        <w:rPr>
          <w:rFonts w:ascii="Arial" w:hAnsi="Arial" w:cs="Arial"/>
          <w:sz w:val="20"/>
          <w:szCs w:val="20"/>
        </w:rPr>
      </w:pPr>
    </w:p>
    <w:p w:rsidRPr="00B71D5E" w:rsidR="00B36EC7" w:rsidP="00B71D5E" w:rsidRDefault="00B36EC7" w14:paraId="470609C8" w14:textId="77777777">
      <w:pPr>
        <w:spacing w:before="120" w:after="120" w:line="240" w:lineRule="auto"/>
        <w:rPr>
          <w:rFonts w:ascii="Arial" w:hAnsi="Arial" w:cs="Arial"/>
          <w:sz w:val="20"/>
          <w:szCs w:val="20"/>
        </w:rPr>
      </w:pPr>
    </w:p>
    <w:p w:rsidRPr="00B71D5E" w:rsidR="00B36EC7" w:rsidP="00B71D5E" w:rsidRDefault="00B36EC7" w14:paraId="4DB217B8" w14:textId="77777777">
      <w:pPr>
        <w:spacing w:before="120" w:after="120" w:line="240" w:lineRule="auto"/>
        <w:rPr>
          <w:rFonts w:ascii="Arial" w:hAnsi="Arial" w:cs="Arial"/>
          <w:sz w:val="20"/>
          <w:szCs w:val="20"/>
        </w:rPr>
      </w:pPr>
    </w:p>
    <w:p w:rsidRPr="00B71D5E" w:rsidR="00B36EC7" w:rsidP="00B71D5E" w:rsidRDefault="00B36EC7" w14:paraId="4444D46C" w14:textId="77777777">
      <w:pPr>
        <w:spacing w:before="120" w:after="120" w:line="240" w:lineRule="auto"/>
        <w:rPr>
          <w:rFonts w:ascii="Arial" w:hAnsi="Arial" w:eastAsia="Calibri" w:cs="Arial"/>
          <w:b/>
          <w:bCs/>
          <w:caps/>
          <w:kern w:val="32"/>
          <w:sz w:val="20"/>
          <w:szCs w:val="20"/>
          <w:u w:val="single"/>
        </w:rPr>
      </w:pPr>
      <w:r>
        <w:rPr>
          <w:rFonts w:ascii="Arial" w:hAnsi="Arial" w:eastAsia="Calibri" w:cs="Arial"/>
          <w:sz w:val="20"/>
          <w:szCs w:val="20"/>
        </w:rPr>
        <w:br w:type="page"/>
      </w:r>
    </w:p>
    <w:p w:rsidRPr="00B71D5E" w:rsidR="00B36EC7" w:rsidP="00B71D5E" w:rsidRDefault="00B36EC7" w14:paraId="1F960043" w14:textId="77777777">
      <w:pPr>
        <w:pStyle w:val="zGTitleExhibit"/>
        <w:rPr>
          <w:rFonts w:eastAsia="Calibri" w:cs="Arial"/>
        </w:rPr>
      </w:pPr>
      <w:bookmarkStart w:name="_Toc143607297" w:id="610"/>
      <w:bookmarkStart w:name="_Toc143607311" w:id="611"/>
      <w:bookmarkStart w:name="_Toc181639515" w:id="612"/>
      <w:bookmarkStart w:name="_Toc214644835" w:id="613"/>
      <w:r>
        <w:rPr>
          <w:rFonts w:eastAsia="Calibri" w:cs="Arial"/>
        </w:rPr>
        <w:lastRenderedPageBreak/>
        <w:t>Exhibit C – Form of Guaranty</w:t>
      </w:r>
      <w:bookmarkEnd w:id="588"/>
      <w:bookmarkEnd w:id="589"/>
      <w:bookmarkEnd w:id="610"/>
      <w:bookmarkEnd w:id="611"/>
      <w:bookmarkEnd w:id="612"/>
      <w:bookmarkEnd w:id="613"/>
    </w:p>
    <w:p w:rsidRPr="00B71D5E" w:rsidR="00B36EC7" w:rsidP="00B71D5E" w:rsidRDefault="00B36EC7" w14:paraId="5894D9B0" w14:textId="77777777">
      <w:pPr>
        <w:pStyle w:val="zGTitle11"/>
        <w:spacing w:before="120" w:after="120"/>
        <w:rPr>
          <w:rFonts w:cs="Arial"/>
          <w:sz w:val="20"/>
        </w:rPr>
      </w:pPr>
      <w:r>
        <w:rPr>
          <w:rFonts w:cs="Arial"/>
          <w:sz w:val="20"/>
        </w:rPr>
        <w:t>Guaranty</w:t>
      </w:r>
    </w:p>
    <w:p w:rsidRPr="00B71D5E" w:rsidR="00B36EC7" w:rsidP="00B71D5E" w:rsidRDefault="00B36EC7" w14:paraId="61701C7D" w14:textId="77777777">
      <w:pPr>
        <w:pStyle w:val="zGNormal6"/>
        <w:rPr>
          <w:rFonts w:eastAsia="Times New Roman"/>
        </w:rPr>
      </w:pPr>
      <w:bookmarkStart w:name="_Hlk142625697" w:id="614"/>
      <w:r>
        <w:rPr>
          <w:rFonts w:eastAsia="Times New Roman"/>
        </w:rPr>
        <w:t xml:space="preserve">This </w:t>
      </w:r>
      <w:r>
        <w:rPr>
          <w:rFonts w:eastAsia="Times New Roman"/>
          <w:b/>
        </w:rPr>
        <w:t>Guaranty Agreement</w:t>
      </w:r>
      <w:r>
        <w:rPr>
          <w:rFonts w:eastAsia="Times New Roman"/>
        </w:rPr>
        <w:t xml:space="preserve"> (“</w:t>
      </w:r>
      <w:r>
        <w:rPr>
          <w:rFonts w:eastAsia="Times New Roman"/>
          <w:b/>
        </w:rPr>
        <w:t>Guaranty</w:t>
      </w:r>
      <w:r>
        <w:rPr>
          <w:rFonts w:eastAsia="Times New Roman"/>
        </w:rPr>
        <w:t>”), effective as of ___________, 20__ (“</w:t>
      </w:r>
      <w:r>
        <w:rPr>
          <w:rFonts w:eastAsia="Times New Roman"/>
          <w:b/>
        </w:rPr>
        <w:t>Effective Date</w:t>
      </w:r>
      <w:r>
        <w:rPr>
          <w:rFonts w:eastAsia="Times New Roman"/>
        </w:rPr>
        <w:t>”), is entered into by __________________ (“</w:t>
      </w:r>
      <w:r>
        <w:rPr>
          <w:rFonts w:eastAsia="Times New Roman"/>
          <w:b/>
        </w:rPr>
        <w:t>Guarantor</w:t>
      </w:r>
      <w:r>
        <w:rPr>
          <w:rFonts w:eastAsia="Times New Roman"/>
        </w:rPr>
        <w:t>”) in favor of Georgia Power Company (“</w:t>
      </w:r>
      <w:r>
        <w:rPr>
          <w:rFonts w:eastAsia="Times New Roman"/>
          <w:b/>
        </w:rPr>
        <w:t>Beneficiary</w:t>
      </w:r>
      <w:r>
        <w:rPr>
          <w:rFonts w:eastAsia="Times New Roman"/>
        </w:rPr>
        <w:t>”). Guarantor acknowledges:</w:t>
      </w:r>
    </w:p>
    <w:p w:rsidRPr="00B71D5E" w:rsidR="00B36EC7" w:rsidP="00EC532C" w:rsidRDefault="00B36EC7" w14:paraId="2501C24D" w14:textId="534CA91B">
      <w:pPr>
        <w:pStyle w:val="zGNormal6"/>
        <w:numPr>
          <w:ilvl w:val="0"/>
          <w:numId w:val="11"/>
        </w:numPr>
        <w:rPr>
          <w:rFonts w:eastAsia="Times New Roman"/>
        </w:rPr>
      </w:pPr>
      <w:bookmarkStart w:name="_DV_M826" w:id="615"/>
      <w:bookmarkEnd w:id="615"/>
      <w:r>
        <w:rPr>
          <w:rFonts w:eastAsia="Times New Roman"/>
        </w:rPr>
        <w:t>Beneficiary and ____________________ (“</w:t>
      </w:r>
      <w:r>
        <w:rPr>
          <w:rFonts w:eastAsia="Times New Roman"/>
          <w:b/>
          <w:bCs/>
        </w:rPr>
        <w:t>Company</w:t>
      </w:r>
      <w:r>
        <w:rPr>
          <w:rFonts w:eastAsia="Times New Roman"/>
        </w:rPr>
        <w:t xml:space="preserve">”), [an Affiliate of Guarantor], have entered into an </w:t>
      </w:r>
      <w:r>
        <w:rPr>
          <w:rFonts w:eastAsia="Times New Roman"/>
          <w:b/>
          <w:bCs/>
        </w:rPr>
        <w:t xml:space="preserve">Asset Purchase </w:t>
      </w:r>
      <w:r>
        <w:rPr>
          <w:rFonts w:eastAsia="Calibri"/>
          <w:b/>
          <w:bCs/>
        </w:rPr>
        <w:t>Agreement for</w:t>
      </w:r>
      <w:r w:rsidR="003C5FA5">
        <w:rPr>
          <w:rFonts w:eastAsia="Calibri"/>
          <w:b/>
          <w:bCs/>
        </w:rPr>
        <w:t xml:space="preserve"> 2026 All-Source Capacity Request for Proposals for Need Years</w:t>
      </w:r>
      <w:r>
        <w:rPr>
          <w:rFonts w:eastAsia="Calibri"/>
          <w:b/>
          <w:bCs/>
        </w:rPr>
        <w:t xml:space="preserve"> 2032-2033 at </w:t>
      </w:r>
      <w:r>
        <w:rPr>
          <w:rFonts w:eastAsia="Calibri"/>
          <w:b/>
          <w:bCs/>
          <w:highlight w:val="yellow"/>
        </w:rPr>
        <w:t>#FacilityName#</w:t>
      </w:r>
      <w:r>
        <w:rPr>
          <w:rFonts w:eastAsia="Calibri"/>
          <w:b/>
          <w:bCs/>
        </w:rPr>
        <w:t xml:space="preserve"> </w:t>
      </w:r>
      <w:r>
        <w:rPr>
          <w:rFonts w:eastAsia="Times New Roman"/>
        </w:rPr>
        <w:t>dated as of ____________, 20__ (as amended, restated, supplemented or otherwise modified from time to time, the “</w:t>
      </w:r>
      <w:r>
        <w:rPr>
          <w:rFonts w:eastAsia="Times New Roman"/>
          <w:b/>
        </w:rPr>
        <w:t>APA</w:t>
      </w:r>
      <w:r>
        <w:rPr>
          <w:rFonts w:eastAsia="Times New Roman"/>
        </w:rPr>
        <w:t xml:space="preserve">”) regarding a facility located in </w:t>
      </w:r>
      <w:r>
        <w:rPr>
          <w:rFonts w:eastAsia="Times New Roman"/>
          <w:highlight w:val="yellow"/>
        </w:rPr>
        <w:t>#FacilityCity,</w:t>
      </w:r>
      <w:r>
        <w:rPr>
          <w:rFonts w:eastAsia="Times New Roman"/>
        </w:rPr>
        <w:t xml:space="preserve"> </w:t>
      </w:r>
      <w:bookmarkStart w:name="_DV_M827" w:id="616"/>
      <w:bookmarkEnd w:id="616"/>
      <w:r w:rsidR="006167A2">
        <w:rPr>
          <w:rFonts w:eastAsia="Times New Roman"/>
        </w:rPr>
        <w:t>Georgia.</w:t>
      </w:r>
    </w:p>
    <w:p w:rsidRPr="00B71D5E" w:rsidR="00B36EC7" w:rsidP="00EC532C" w:rsidRDefault="00B36EC7" w14:paraId="4F87C41C" w14:textId="77777777">
      <w:pPr>
        <w:pStyle w:val="zGNormal6"/>
        <w:numPr>
          <w:ilvl w:val="0"/>
          <w:numId w:val="11"/>
        </w:numPr>
        <w:rPr>
          <w:rFonts w:eastAsia="Times New Roman"/>
        </w:rPr>
      </w:pPr>
      <w:r>
        <w:rPr>
          <w:rFonts w:eastAsia="Times New Roman"/>
        </w:rPr>
        <w:t xml:space="preserve">Beneficiary has required, as an inducement to its entry into the APA, that Guarantor deliver to the Beneficiary this Guaranty or other Performance Security as and when required under the </w:t>
      </w:r>
      <w:proofErr w:type="gramStart"/>
      <w:r>
        <w:rPr>
          <w:rFonts w:eastAsia="Times New Roman"/>
        </w:rPr>
        <w:t>APA;</w:t>
      </w:r>
      <w:bookmarkStart w:name="_DV_M828" w:id="617"/>
      <w:bookmarkEnd w:id="617"/>
      <w:proofErr w:type="gramEnd"/>
    </w:p>
    <w:p w:rsidRPr="00B71D5E" w:rsidR="00B36EC7" w:rsidP="00EC532C" w:rsidRDefault="00B36EC7" w14:paraId="267B5298" w14:textId="77777777">
      <w:pPr>
        <w:pStyle w:val="zGNormal6"/>
        <w:numPr>
          <w:ilvl w:val="0"/>
          <w:numId w:val="11"/>
        </w:numPr>
        <w:rPr>
          <w:rFonts w:eastAsia="Times New Roman"/>
        </w:rPr>
      </w:pPr>
      <w:r>
        <w:rPr>
          <w:rFonts w:eastAsia="Times New Roman"/>
        </w:rPr>
        <w:t>Guarantor qualifies as a Seller Guarantor under the APA, and this Guaranty qualifies as Performance Security under the APA; and</w:t>
      </w:r>
      <w:bookmarkStart w:name="_DV_M829" w:id="618"/>
      <w:bookmarkEnd w:id="618"/>
    </w:p>
    <w:p w:rsidRPr="00B71D5E" w:rsidR="00B36EC7" w:rsidP="00EC532C" w:rsidRDefault="00B36EC7" w14:paraId="641C64B0" w14:textId="77777777">
      <w:pPr>
        <w:pStyle w:val="zGNormal6"/>
        <w:numPr>
          <w:ilvl w:val="0"/>
          <w:numId w:val="11"/>
        </w:numPr>
        <w:rPr>
          <w:rFonts w:eastAsia="Times New Roman"/>
        </w:rPr>
      </w:pPr>
      <w:r>
        <w:rPr>
          <w:rFonts w:eastAsia="Times New Roman"/>
        </w:rPr>
        <w:t>Guarantor will derive substantial direct and indirect benefit from the transactions contemplated by the APA.</w:t>
      </w:r>
    </w:p>
    <w:p w:rsidRPr="00B71D5E" w:rsidR="00B36EC7" w:rsidP="008A68FC" w:rsidRDefault="00B36EC7" w14:paraId="304F9B1D" w14:textId="77777777">
      <w:pPr>
        <w:spacing w:before="120" w:after="120" w:line="240" w:lineRule="auto"/>
        <w:jc w:val="both"/>
        <w:rPr>
          <w:rFonts w:ascii="Arial" w:hAnsi="Arial" w:eastAsia="Times New Roman" w:cs="Arial"/>
          <w:sz w:val="20"/>
          <w:szCs w:val="20"/>
        </w:rPr>
      </w:pPr>
      <w:bookmarkStart w:name="_DV_M830" w:id="619"/>
      <w:bookmarkEnd w:id="619"/>
      <w:r>
        <w:rPr>
          <w:rFonts w:ascii="Arial" w:hAnsi="Arial" w:eastAsia="Times New Roman" w:cs="Arial"/>
          <w:sz w:val="20"/>
          <w:szCs w:val="20"/>
        </w:rPr>
        <w:t xml:space="preserve">To induce Beneficiary to </w:t>
      </w:r>
      <w:proofErr w:type="gramStart"/>
      <w:r>
        <w:rPr>
          <w:rFonts w:ascii="Arial" w:hAnsi="Arial" w:eastAsia="Times New Roman" w:cs="Arial"/>
          <w:sz w:val="20"/>
          <w:szCs w:val="20"/>
        </w:rPr>
        <w:t>enter into</w:t>
      </w:r>
      <w:proofErr w:type="gramEnd"/>
      <w:r>
        <w:rPr>
          <w:rFonts w:ascii="Arial" w:hAnsi="Arial" w:eastAsia="Times New Roman" w:cs="Arial"/>
          <w:sz w:val="20"/>
          <w:szCs w:val="20"/>
        </w:rPr>
        <w:t xml:space="preserve"> and perform its obligations under the </w:t>
      </w:r>
      <w:r>
        <w:rPr>
          <w:rFonts w:ascii="Arial" w:hAnsi="Arial" w:eastAsia="Times New Roman" w:cs="Arial"/>
          <w:spacing w:val="-4"/>
          <w:kern w:val="14"/>
          <w:sz w:val="20"/>
          <w:szCs w:val="20"/>
        </w:rPr>
        <w:t>APA</w:t>
      </w:r>
      <w:r>
        <w:rPr>
          <w:rFonts w:ascii="Arial" w:hAnsi="Arial" w:eastAsia="Times New Roman" w:cs="Arial"/>
          <w:sz w:val="20"/>
          <w:szCs w:val="20"/>
        </w:rPr>
        <w:t>, and for and in consideration of the foregoing premises, the mutual agreements contained in this Guaranty, and other good and valuable consideration, the receipt and sufficiency of which are acknowledged, Guarantor agrees as follows:</w:t>
      </w:r>
    </w:p>
    <w:p w:rsidRPr="00B71D5E" w:rsidR="00B36EC7" w:rsidP="00B71D5E" w:rsidRDefault="00B36EC7" w14:paraId="78FE85F1" w14:textId="77777777">
      <w:pPr>
        <w:keepNext/>
        <w:autoSpaceDE w:val="0"/>
        <w:autoSpaceDN w:val="0"/>
        <w:adjustRightInd w:val="0"/>
        <w:spacing w:before="120" w:after="120" w:line="240" w:lineRule="auto"/>
        <w:outlineLvl w:val="0"/>
        <w:rPr>
          <w:rFonts w:ascii="Arial" w:hAnsi="Arial" w:eastAsia="Times New Roman" w:cs="Arial"/>
          <w:b/>
          <w:caps/>
          <w:sz w:val="20"/>
          <w:szCs w:val="20"/>
        </w:rPr>
      </w:pPr>
      <w:bookmarkStart w:name="_DV_M831" w:id="620"/>
      <w:bookmarkStart w:name="_Toc143607312" w:id="621"/>
      <w:bookmarkEnd w:id="620"/>
      <w:r>
        <w:rPr>
          <w:rFonts w:ascii="Arial" w:hAnsi="Arial" w:eastAsia="Times New Roman" w:cs="Arial"/>
          <w:b/>
          <w:caps/>
          <w:sz w:val="20"/>
          <w:szCs w:val="20"/>
        </w:rPr>
        <w:t>PART 1 - Definitions</w:t>
      </w:r>
      <w:bookmarkEnd w:id="621"/>
    </w:p>
    <w:p w:rsidRPr="00B71D5E" w:rsidR="00B36EC7" w:rsidP="00EC532C" w:rsidRDefault="00B36EC7" w14:paraId="576569A8" w14:textId="77777777">
      <w:pPr>
        <w:numPr>
          <w:ilvl w:val="0"/>
          <w:numId w:val="10"/>
        </w:numPr>
        <w:autoSpaceDE w:val="0"/>
        <w:autoSpaceDN w:val="0"/>
        <w:adjustRightInd w:val="0"/>
        <w:spacing w:before="120" w:after="120" w:line="240" w:lineRule="auto"/>
        <w:ind w:left="540" w:hanging="540"/>
        <w:jc w:val="both"/>
        <w:outlineLvl w:val="1"/>
        <w:rPr>
          <w:rFonts w:ascii="Arial" w:hAnsi="Arial" w:eastAsia="Times New Roman" w:cs="Arial"/>
          <w:sz w:val="20"/>
          <w:szCs w:val="20"/>
        </w:rPr>
      </w:pPr>
      <w:bookmarkStart w:name="_DV_M832" w:id="622"/>
      <w:bookmarkStart w:name="_Toc143607313" w:id="623"/>
      <w:bookmarkEnd w:id="622"/>
      <w:r>
        <w:rPr>
          <w:rFonts w:ascii="Arial" w:hAnsi="Arial" w:eastAsia="Times New Roman" w:cs="Arial"/>
          <w:b/>
          <w:sz w:val="20"/>
          <w:szCs w:val="20"/>
        </w:rPr>
        <w:t>Definitions.</w:t>
      </w:r>
      <w:r>
        <w:rPr>
          <w:rFonts w:ascii="Arial" w:hAnsi="Arial" w:eastAsia="Times New Roman" w:cs="Arial"/>
          <w:sz w:val="20"/>
          <w:szCs w:val="20"/>
        </w:rPr>
        <w:t xml:space="preserve"> Unless otherwise defined in this Guaranty, capitalized terms have the meanings specified or referred to in the </w:t>
      </w:r>
      <w:r>
        <w:rPr>
          <w:rFonts w:ascii="Arial" w:hAnsi="Arial" w:eastAsia="Times New Roman" w:cs="Arial"/>
          <w:spacing w:val="-4"/>
          <w:kern w:val="14"/>
          <w:sz w:val="20"/>
          <w:szCs w:val="20"/>
        </w:rPr>
        <w:t>APA</w:t>
      </w:r>
      <w:r>
        <w:rPr>
          <w:rFonts w:ascii="Arial" w:hAnsi="Arial" w:eastAsia="Times New Roman" w:cs="Arial"/>
          <w:sz w:val="20"/>
          <w:szCs w:val="20"/>
        </w:rPr>
        <w:t>.</w:t>
      </w:r>
      <w:bookmarkEnd w:id="623"/>
    </w:p>
    <w:p w:rsidRPr="00B71D5E" w:rsidR="00B36EC7" w:rsidP="00B71D5E" w:rsidRDefault="00B36EC7" w14:paraId="68933CA7" w14:textId="77777777">
      <w:pPr>
        <w:keepNext/>
        <w:autoSpaceDE w:val="0"/>
        <w:autoSpaceDN w:val="0"/>
        <w:adjustRightInd w:val="0"/>
        <w:spacing w:before="120" w:after="120" w:line="240" w:lineRule="auto"/>
        <w:outlineLvl w:val="0"/>
        <w:rPr>
          <w:rFonts w:ascii="Arial" w:hAnsi="Arial" w:eastAsia="Times New Roman" w:cs="Arial"/>
          <w:b/>
          <w:caps/>
          <w:sz w:val="20"/>
          <w:szCs w:val="20"/>
        </w:rPr>
      </w:pPr>
      <w:bookmarkStart w:name="_DV_M833" w:id="624"/>
      <w:bookmarkStart w:name="_Toc143607314" w:id="625"/>
      <w:bookmarkEnd w:id="624"/>
      <w:r>
        <w:rPr>
          <w:rFonts w:ascii="Arial" w:hAnsi="Arial" w:eastAsia="Times New Roman" w:cs="Arial"/>
          <w:b/>
          <w:caps/>
          <w:sz w:val="20"/>
          <w:szCs w:val="20"/>
        </w:rPr>
        <w:t>PART 2 - Guaranty</w:t>
      </w:r>
      <w:bookmarkEnd w:id="625"/>
    </w:p>
    <w:p w:rsidRPr="00B71D5E" w:rsidR="00B36EC7" w:rsidP="00EC532C" w:rsidRDefault="00B36EC7" w14:paraId="738ABEB6" w14:textId="77777777">
      <w:pPr>
        <w:numPr>
          <w:ilvl w:val="0"/>
          <w:numId w:val="10"/>
        </w:numPr>
        <w:autoSpaceDE w:val="0"/>
        <w:autoSpaceDN w:val="0"/>
        <w:adjustRightInd w:val="0"/>
        <w:spacing w:before="120" w:after="120" w:line="240" w:lineRule="auto"/>
        <w:ind w:left="540" w:hanging="540"/>
        <w:jc w:val="both"/>
        <w:outlineLvl w:val="1"/>
        <w:rPr>
          <w:rFonts w:ascii="Arial" w:hAnsi="Arial" w:eastAsia="Times New Roman" w:cs="Arial"/>
          <w:sz w:val="20"/>
          <w:szCs w:val="20"/>
        </w:rPr>
      </w:pPr>
      <w:bookmarkStart w:name="_DV_M834" w:id="626"/>
      <w:bookmarkStart w:name="_Toc143607315" w:id="627"/>
      <w:bookmarkEnd w:id="626"/>
      <w:r>
        <w:rPr>
          <w:rFonts w:ascii="Arial" w:hAnsi="Arial" w:eastAsia="Times New Roman" w:cs="Arial"/>
          <w:b/>
          <w:sz w:val="20"/>
          <w:szCs w:val="20"/>
        </w:rPr>
        <w:t>Guaranty.</w:t>
      </w:r>
      <w:r>
        <w:rPr>
          <w:rFonts w:ascii="Arial" w:hAnsi="Arial" w:eastAsia="Times New Roman" w:cs="Arial"/>
          <w:i/>
          <w:sz w:val="20"/>
          <w:szCs w:val="20"/>
        </w:rPr>
        <w:t xml:space="preserve"> </w:t>
      </w:r>
      <w:r>
        <w:rPr>
          <w:rFonts w:ascii="Arial" w:hAnsi="Arial" w:eastAsia="Times New Roman" w:cs="Arial"/>
          <w:sz w:val="20"/>
          <w:szCs w:val="20"/>
        </w:rPr>
        <w:t xml:space="preserve">Guarantor unconditionally and irrevocably guarantees to Beneficiary and Beneficiary’s successors and assigns, that Guarantor will make prompt and full payment of any obligations of Company to Beneficiary when due, whether by acceleration or otherwise, with any interest as may accrue under the </w:t>
      </w:r>
      <w:r>
        <w:rPr>
          <w:rFonts w:ascii="Arial" w:hAnsi="Arial" w:eastAsia="Times New Roman" w:cs="Arial"/>
          <w:spacing w:val="-4"/>
          <w:kern w:val="14"/>
          <w:sz w:val="20"/>
          <w:szCs w:val="20"/>
        </w:rPr>
        <w:t>APA</w:t>
      </w:r>
      <w:r>
        <w:rPr>
          <w:rFonts w:ascii="Arial" w:hAnsi="Arial" w:eastAsia="Times New Roman" w:cs="Arial"/>
          <w:sz w:val="20"/>
          <w:szCs w:val="20"/>
        </w:rPr>
        <w:t xml:space="preserve"> or under any other documents or instruments now or in the future evidencing, securing, or otherwise relating to the </w:t>
      </w:r>
      <w:r>
        <w:rPr>
          <w:rFonts w:ascii="Arial" w:hAnsi="Arial" w:eastAsia="Times New Roman" w:cs="Arial"/>
          <w:spacing w:val="-4"/>
          <w:kern w:val="14"/>
          <w:sz w:val="20"/>
          <w:szCs w:val="20"/>
        </w:rPr>
        <w:t>APA</w:t>
      </w:r>
      <w:r>
        <w:rPr>
          <w:rFonts w:ascii="Arial" w:hAnsi="Arial" w:eastAsia="Times New Roman" w:cs="Arial"/>
          <w:sz w:val="20"/>
          <w:szCs w:val="20"/>
        </w:rPr>
        <w:t xml:space="preserve"> (“</w:t>
      </w:r>
      <w:r>
        <w:rPr>
          <w:rFonts w:ascii="Arial" w:hAnsi="Arial" w:eastAsia="Times New Roman" w:cs="Arial"/>
          <w:b/>
          <w:sz w:val="20"/>
          <w:szCs w:val="20"/>
        </w:rPr>
        <w:t>Guaranteed Obligations</w:t>
      </w:r>
      <w:r>
        <w:rPr>
          <w:rFonts w:ascii="Arial" w:hAnsi="Arial" w:eastAsia="Times New Roman" w:cs="Arial"/>
          <w:sz w:val="20"/>
          <w:szCs w:val="20"/>
        </w:rPr>
        <w:t>”), except that Guarantor’s liability under this Guaranty will in no event exceed the aggregate amount of Performance Security that Company must provide in accordance with Section 5.15 (</w:t>
      </w:r>
      <w:r>
        <w:rPr>
          <w:rFonts w:ascii="Arial" w:hAnsi="Arial" w:eastAsia="Times New Roman" w:cs="Arial"/>
          <w:i/>
          <w:sz w:val="20"/>
          <w:szCs w:val="20"/>
        </w:rPr>
        <w:t>Performance Security</w:t>
      </w:r>
      <w:r>
        <w:rPr>
          <w:rFonts w:ascii="Arial" w:hAnsi="Arial" w:eastAsia="Times New Roman" w:cs="Arial"/>
          <w:sz w:val="20"/>
          <w:szCs w:val="20"/>
        </w:rPr>
        <w:t>) of the APA (plus costs of enforcement of this Guaranty as provided in Section 5.6 (</w:t>
      </w:r>
      <w:r>
        <w:rPr>
          <w:rFonts w:ascii="Arial" w:hAnsi="Arial" w:eastAsia="Times New Roman" w:cs="Arial"/>
          <w:i/>
          <w:sz w:val="20"/>
          <w:szCs w:val="20"/>
        </w:rPr>
        <w:t>Expenses</w:t>
      </w:r>
      <w:r>
        <w:rPr>
          <w:rFonts w:ascii="Arial" w:hAnsi="Arial" w:eastAsia="Times New Roman" w:cs="Arial"/>
          <w:sz w:val="20"/>
          <w:szCs w:val="20"/>
        </w:rPr>
        <w:t>) of the APA). Guarantor must immediately pay for any obligation of Company upon demand by Beneficiary.</w:t>
      </w:r>
      <w:bookmarkEnd w:id="627"/>
    </w:p>
    <w:p w:rsidRPr="00B71D5E" w:rsidR="00B36EC7" w:rsidP="00B71D5E" w:rsidRDefault="00B36EC7" w14:paraId="2CC34979" w14:textId="77777777">
      <w:pPr>
        <w:tabs>
          <w:tab w:val="left" w:pos="540"/>
          <w:tab w:val="left" w:pos="1440"/>
        </w:tabs>
        <w:autoSpaceDE w:val="0"/>
        <w:autoSpaceDN w:val="0"/>
        <w:adjustRightInd w:val="0"/>
        <w:spacing w:before="120" w:after="120" w:line="240" w:lineRule="auto"/>
        <w:jc w:val="both"/>
        <w:outlineLvl w:val="1"/>
        <w:rPr>
          <w:rFonts w:ascii="Arial" w:hAnsi="Arial" w:eastAsia="Times New Roman" w:cs="Arial"/>
          <w:b/>
          <w:i/>
          <w:sz w:val="20"/>
          <w:szCs w:val="20"/>
        </w:rPr>
      </w:pPr>
      <w:bookmarkStart w:name="_DV_M835" w:id="628"/>
      <w:bookmarkStart w:name="_Toc143607316" w:id="629"/>
      <w:bookmarkEnd w:id="628"/>
      <w:r>
        <w:rPr>
          <w:rFonts w:ascii="Arial" w:hAnsi="Arial" w:eastAsia="Times New Roman" w:cs="Arial"/>
          <w:b/>
          <w:sz w:val="20"/>
          <w:szCs w:val="20"/>
        </w:rPr>
        <w:t>2.2</w:t>
      </w:r>
      <w:r>
        <w:rPr>
          <w:rFonts w:ascii="Arial" w:hAnsi="Arial" w:eastAsia="Times New Roman" w:cs="Arial"/>
          <w:b/>
          <w:i/>
          <w:sz w:val="20"/>
          <w:szCs w:val="20"/>
        </w:rPr>
        <w:tab/>
      </w:r>
      <w:r>
        <w:rPr>
          <w:rFonts w:ascii="Arial" w:hAnsi="Arial" w:eastAsia="Times New Roman" w:cs="Arial"/>
          <w:b/>
          <w:sz w:val="20"/>
          <w:szCs w:val="20"/>
        </w:rPr>
        <w:t>Guaranty Absolute</w:t>
      </w:r>
      <w:r>
        <w:rPr>
          <w:rFonts w:ascii="Arial" w:hAnsi="Arial" w:eastAsia="Times New Roman" w:cs="Arial"/>
          <w:b/>
          <w:i/>
          <w:sz w:val="20"/>
          <w:szCs w:val="20"/>
        </w:rPr>
        <w:t>.</w:t>
      </w:r>
      <w:bookmarkEnd w:id="629"/>
    </w:p>
    <w:p w:rsidRPr="00B71D5E" w:rsidR="00B36EC7" w:rsidP="00B71D5E" w:rsidRDefault="00B36EC7" w14:paraId="5AE67C73" w14:textId="77777777">
      <w:pPr>
        <w:tabs>
          <w:tab w:val="left" w:pos="1440"/>
        </w:tabs>
        <w:autoSpaceDE w:val="0"/>
        <w:autoSpaceDN w:val="0"/>
        <w:adjustRightInd w:val="0"/>
        <w:spacing w:before="120" w:after="120" w:line="240" w:lineRule="auto"/>
        <w:ind w:left="540"/>
        <w:jc w:val="both"/>
        <w:outlineLvl w:val="1"/>
        <w:rPr>
          <w:rFonts w:ascii="Arial" w:hAnsi="Arial" w:eastAsia="Times New Roman" w:cs="Arial"/>
          <w:sz w:val="20"/>
          <w:szCs w:val="20"/>
        </w:rPr>
      </w:pPr>
      <w:bookmarkStart w:name="_DV_M836" w:id="630"/>
      <w:bookmarkStart w:name="_Toc143607317" w:id="631"/>
      <w:bookmarkEnd w:id="630"/>
      <w:r>
        <w:rPr>
          <w:rFonts w:ascii="Arial" w:hAnsi="Arial" w:eastAsia="Times New Roman" w:cs="Arial"/>
          <w:b/>
          <w:iCs/>
          <w:sz w:val="20"/>
          <w:szCs w:val="20"/>
        </w:rPr>
        <w:t>2.2.1. Guarantor Guarantees.</w:t>
      </w:r>
      <w:r>
        <w:rPr>
          <w:rFonts w:ascii="Arial" w:hAnsi="Arial" w:eastAsia="Times New Roman" w:cs="Arial"/>
          <w:sz w:val="20"/>
          <w:szCs w:val="20"/>
        </w:rPr>
        <w:t xml:space="preserve"> Guarantor absolutely guarantees that the Guaranteed Obligations will be paid strictly in accordance with the terms of the </w:t>
      </w:r>
      <w:r>
        <w:rPr>
          <w:rFonts w:ascii="Arial" w:hAnsi="Arial" w:eastAsia="Times New Roman" w:cs="Arial"/>
          <w:spacing w:val="-4"/>
          <w:kern w:val="14"/>
          <w:sz w:val="20"/>
          <w:szCs w:val="20"/>
        </w:rPr>
        <w:t>APA</w:t>
      </w:r>
      <w:r>
        <w:rPr>
          <w:rFonts w:ascii="Arial" w:hAnsi="Arial" w:eastAsia="Times New Roman" w:cs="Arial"/>
          <w:sz w:val="20"/>
          <w:szCs w:val="20"/>
        </w:rPr>
        <w:t xml:space="preserve">, regardless of any law or regulation in effect now, or that may come into effect in the future, in any jurisdiction affecting any of the terms or the rights of Beneficiary regarding the </w:t>
      </w:r>
      <w:r>
        <w:rPr>
          <w:rFonts w:ascii="Arial" w:hAnsi="Arial" w:eastAsia="Times New Roman" w:cs="Arial"/>
          <w:spacing w:val="-4"/>
          <w:kern w:val="14"/>
          <w:sz w:val="20"/>
          <w:szCs w:val="20"/>
        </w:rPr>
        <w:t>APA</w:t>
      </w:r>
      <w:r>
        <w:rPr>
          <w:rFonts w:ascii="Arial" w:hAnsi="Arial" w:eastAsia="Times New Roman" w:cs="Arial"/>
          <w:sz w:val="20"/>
          <w:szCs w:val="20"/>
        </w:rPr>
        <w:t xml:space="preserve">. This Guaranty constitutes a guarantee of payment and not of collection. The obligations of Guarantor under this Guaranty are primary obligations and are several from Company or any other Person, and Guarantor is the principal obligor under this Guaranty. Guarantor’s liability under this Guaranty will be direct and immediate and not conditional or contingent upon the pursuit of any remedies against Company or any other person, nor against securities or liens available to Beneficiary or Beneficiary’s successors or assigns. </w:t>
      </w:r>
      <w:r>
        <w:rPr>
          <w:rFonts w:ascii="Arial" w:hAnsi="Arial" w:eastAsia="Times New Roman" w:cs="Arial"/>
          <w:b/>
          <w:bCs/>
          <w:sz w:val="20"/>
          <w:szCs w:val="20"/>
        </w:rPr>
        <w:t>Guarantor’s liability under this Guaranty will be irrevocable, absolute, and unconditional irrespective of, and Guarantor unconditionally and irrevocably waives any defenses it may now have or later acquire in any way relating to:</w:t>
      </w:r>
      <w:bookmarkEnd w:id="631"/>
    </w:p>
    <w:p w:rsidRPr="00B71D5E" w:rsidR="00B36EC7" w:rsidP="00EC532C" w:rsidRDefault="00B36EC7" w14:paraId="57412B48"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bookmarkStart w:name="_DV_M837" w:id="632"/>
      <w:bookmarkEnd w:id="632"/>
      <w:r>
        <w:rPr>
          <w:rFonts w:ascii="Arial" w:hAnsi="Arial" w:eastAsia="Times New Roman" w:cs="Arial"/>
          <w:b/>
          <w:sz w:val="20"/>
          <w:szCs w:val="20"/>
        </w:rPr>
        <w:t xml:space="preserve">any change in the time, manner, or place of payment of, or in any other term of, any of the Guaranteed Obligations, or any other amendment, modification, or waiver of, or any consent to departure from, the terms of any Guaranteed Obligations, or any compromise, settlement, release, or termination of any of the Guaranteed </w:t>
      </w:r>
      <w:proofErr w:type="gramStart"/>
      <w:r>
        <w:rPr>
          <w:rFonts w:ascii="Arial" w:hAnsi="Arial" w:eastAsia="Times New Roman" w:cs="Arial"/>
          <w:b/>
          <w:sz w:val="20"/>
          <w:szCs w:val="20"/>
        </w:rPr>
        <w:t>Obligations;</w:t>
      </w:r>
      <w:bookmarkStart w:name="_DV_M838" w:id="633"/>
      <w:bookmarkEnd w:id="633"/>
      <w:proofErr w:type="gramEnd"/>
    </w:p>
    <w:p w:rsidRPr="00B71D5E" w:rsidR="00B36EC7" w:rsidP="00EC532C" w:rsidRDefault="00B36EC7" w14:paraId="7A264B62"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 xml:space="preserve">any change, restructuring, or termination of the corporate structure or existence of Company or any of its subsidiaries, including Guarantor’s disposal of any part of Guarantor’s interest in Company, or Guarantor’s alteration of Guarantor’s investment in Company in any </w:t>
      </w:r>
      <w:proofErr w:type="gramStart"/>
      <w:r>
        <w:rPr>
          <w:rFonts w:ascii="Arial" w:hAnsi="Arial" w:eastAsia="Times New Roman" w:cs="Arial"/>
          <w:b/>
          <w:sz w:val="20"/>
          <w:szCs w:val="20"/>
        </w:rPr>
        <w:t>manner;</w:t>
      </w:r>
      <w:bookmarkStart w:name="_DV_M839" w:id="634"/>
      <w:bookmarkEnd w:id="634"/>
      <w:proofErr w:type="gramEnd"/>
    </w:p>
    <w:p w:rsidRPr="00B71D5E" w:rsidR="00B36EC7" w:rsidP="00EC532C" w:rsidRDefault="00B36EC7" w14:paraId="2A26F3D3" w14:textId="77777777">
      <w:pPr>
        <w:keepNext/>
        <w:keepLines/>
        <w:numPr>
          <w:ilvl w:val="6"/>
          <w:numId w:val="7"/>
        </w:numPr>
        <w:tabs>
          <w:tab w:val="left" w:pos="1080"/>
          <w:tab w:val="left" w:pos="5788"/>
        </w:tabs>
        <w:autoSpaceDE w:val="0"/>
        <w:autoSpaceDN w:val="0"/>
        <w:adjustRightInd w:val="0"/>
        <w:spacing w:before="120" w:after="120" w:line="240" w:lineRule="auto"/>
        <w:ind w:left="907"/>
        <w:jc w:val="both"/>
        <w:outlineLvl w:val="6"/>
        <w:rPr>
          <w:rFonts w:ascii="Arial" w:hAnsi="Arial" w:eastAsia="Times New Roman" w:cs="Arial"/>
          <w:b/>
          <w:sz w:val="20"/>
          <w:szCs w:val="20"/>
        </w:rPr>
      </w:pPr>
      <w:r>
        <w:rPr>
          <w:rFonts w:ascii="Arial" w:hAnsi="Arial" w:eastAsia="Times New Roman" w:cs="Arial"/>
          <w:b/>
          <w:sz w:val="20"/>
          <w:szCs w:val="20"/>
        </w:rPr>
        <w:lastRenderedPageBreak/>
        <w:t xml:space="preserve">any lack of validity or enforceability, in whole or in part, of the Guaranteed Obligations, the APA, or any agreement or instrument </w:t>
      </w:r>
      <w:proofErr w:type="gramStart"/>
      <w:r>
        <w:rPr>
          <w:rFonts w:ascii="Arial" w:hAnsi="Arial" w:eastAsia="Times New Roman" w:cs="Arial"/>
          <w:b/>
          <w:sz w:val="20"/>
          <w:szCs w:val="20"/>
        </w:rPr>
        <w:t>relating</w:t>
      </w:r>
      <w:proofErr w:type="gramEnd"/>
      <w:r>
        <w:rPr>
          <w:rFonts w:ascii="Arial" w:hAnsi="Arial" w:eastAsia="Times New Roman" w:cs="Arial"/>
          <w:b/>
          <w:sz w:val="20"/>
          <w:szCs w:val="20"/>
        </w:rPr>
        <w:t xml:space="preserve"> the Guaranteed Obligations or the </w:t>
      </w:r>
      <w:proofErr w:type="gramStart"/>
      <w:r>
        <w:rPr>
          <w:rFonts w:ascii="Arial" w:hAnsi="Arial" w:eastAsia="Times New Roman" w:cs="Arial"/>
          <w:b/>
          <w:sz w:val="20"/>
          <w:szCs w:val="20"/>
        </w:rPr>
        <w:t>APA;</w:t>
      </w:r>
      <w:bookmarkStart w:name="_DV_M840" w:id="635"/>
      <w:bookmarkEnd w:id="635"/>
      <w:proofErr w:type="gramEnd"/>
    </w:p>
    <w:p w:rsidRPr="00B71D5E" w:rsidR="00B36EC7" w:rsidP="00EC532C" w:rsidRDefault="00B36EC7" w14:paraId="3364BDFE"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 xml:space="preserve">any failure of Beneficiary to disclose to either Company or Guarantor any information relating to the business, condition (financial or otherwise), operations, performance, properties, or prospects of either Company or any of its subsidiaries now or in the future known to Beneficiary (Guarantor </w:t>
      </w:r>
      <w:proofErr w:type="gramStart"/>
      <w:r>
        <w:rPr>
          <w:rFonts w:ascii="Arial" w:hAnsi="Arial" w:eastAsia="Times New Roman" w:cs="Arial"/>
          <w:b/>
          <w:sz w:val="20"/>
          <w:szCs w:val="20"/>
        </w:rPr>
        <w:t>waiving</w:t>
      </w:r>
      <w:proofErr w:type="gramEnd"/>
      <w:r>
        <w:rPr>
          <w:rFonts w:ascii="Arial" w:hAnsi="Arial" w:eastAsia="Times New Roman" w:cs="Arial"/>
          <w:b/>
          <w:sz w:val="20"/>
          <w:szCs w:val="20"/>
        </w:rPr>
        <w:t xml:space="preserve"> any duty on the part of Beneficiary to disclose </w:t>
      </w:r>
      <w:r>
        <w:rPr>
          <w:rFonts w:ascii="Arial" w:hAnsi="Arial" w:eastAsia="Times New Roman" w:cs="Arial"/>
          <w:b/>
          <w:bCs/>
          <w:sz w:val="20"/>
          <w:szCs w:val="20"/>
        </w:rPr>
        <w:t>the</w:t>
      </w:r>
      <w:r>
        <w:rPr>
          <w:rFonts w:ascii="Arial" w:hAnsi="Arial" w:eastAsia="Times New Roman" w:cs="Arial"/>
          <w:b/>
          <w:sz w:val="20"/>
          <w:szCs w:val="20"/>
        </w:rPr>
        <w:t xml:space="preserve"> information</w:t>
      </w:r>
      <w:proofErr w:type="gramStart"/>
      <w:r>
        <w:rPr>
          <w:rFonts w:ascii="Arial" w:hAnsi="Arial" w:eastAsia="Times New Roman" w:cs="Arial"/>
          <w:b/>
          <w:sz w:val="20"/>
          <w:szCs w:val="20"/>
        </w:rPr>
        <w:t>);</w:t>
      </w:r>
      <w:bookmarkStart w:name="_DV_M841" w:id="636"/>
      <w:bookmarkEnd w:id="636"/>
      <w:proofErr w:type="gramEnd"/>
    </w:p>
    <w:p w:rsidRPr="00B71D5E" w:rsidR="00B36EC7" w:rsidP="00EC532C" w:rsidRDefault="00B36EC7" w14:paraId="3AD99908"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 xml:space="preserve">any failure, omission, delay, or lack on the part of Beneficiary to enforce, ascertain, or exercise any right, power, or remedy under or pursuant to the terms of the APA, the Guaranteed Obligations, or this </w:t>
      </w:r>
      <w:proofErr w:type="gramStart"/>
      <w:r>
        <w:rPr>
          <w:rFonts w:ascii="Arial" w:hAnsi="Arial" w:eastAsia="Times New Roman" w:cs="Arial"/>
          <w:b/>
          <w:sz w:val="20"/>
          <w:szCs w:val="20"/>
        </w:rPr>
        <w:t>Guaranty;</w:t>
      </w:r>
      <w:bookmarkStart w:name="_DV_M842" w:id="637"/>
      <w:bookmarkEnd w:id="637"/>
      <w:proofErr w:type="gramEnd"/>
    </w:p>
    <w:p w:rsidRPr="00B71D5E" w:rsidR="00B36EC7" w:rsidP="00EC532C" w:rsidRDefault="00B36EC7" w14:paraId="48D0A6FD"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any failure by Beneficiary to commence an action against Company, including as contemplated by the provisions of O.C.G.A. Section 10-7-24, as amended;</w:t>
      </w:r>
      <w:bookmarkStart w:name="_DV_M843" w:id="638"/>
      <w:bookmarkEnd w:id="638"/>
      <w:r>
        <w:rPr>
          <w:rFonts w:ascii="Arial" w:hAnsi="Arial" w:eastAsia="Times New Roman" w:cs="Arial"/>
          <w:b/>
          <w:sz w:val="20"/>
          <w:szCs w:val="20"/>
        </w:rPr>
        <w:t xml:space="preserve"> any lack of due diligence by Beneficiary in the collection or protection of or realization upon any collateral securing the Guaranteed </w:t>
      </w:r>
      <w:proofErr w:type="gramStart"/>
      <w:r>
        <w:rPr>
          <w:rFonts w:ascii="Arial" w:hAnsi="Arial" w:eastAsia="Times New Roman" w:cs="Arial"/>
          <w:b/>
          <w:sz w:val="20"/>
          <w:szCs w:val="20"/>
        </w:rPr>
        <w:t>Obligations;</w:t>
      </w:r>
      <w:proofErr w:type="gramEnd"/>
      <w:r>
        <w:rPr>
          <w:rFonts w:ascii="Arial" w:hAnsi="Arial" w:eastAsia="Times New Roman" w:cs="Arial"/>
          <w:b/>
          <w:sz w:val="20"/>
          <w:szCs w:val="20"/>
        </w:rPr>
        <w:t xml:space="preserve"> </w:t>
      </w:r>
      <w:bookmarkStart w:name="_DV_M844" w:id="639"/>
      <w:bookmarkEnd w:id="639"/>
    </w:p>
    <w:p w:rsidRPr="00B71D5E" w:rsidR="00B36EC7" w:rsidP="00EC532C" w:rsidRDefault="00B36EC7" w14:paraId="07A32502"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 xml:space="preserve">the bankruptcy, insolvency, winding up, dissolution, liquidation, administration, reorganization, or other similar or dissimilar failure or financial disability of Guarantor or Company, or any legal limitation, disability, incapacity, or other circumstance relating to Guarantor or </w:t>
      </w:r>
      <w:proofErr w:type="gramStart"/>
      <w:r>
        <w:rPr>
          <w:rFonts w:ascii="Arial" w:hAnsi="Arial" w:eastAsia="Times New Roman" w:cs="Arial"/>
          <w:b/>
          <w:sz w:val="20"/>
          <w:szCs w:val="20"/>
        </w:rPr>
        <w:t>Company;</w:t>
      </w:r>
      <w:bookmarkStart w:name="_DV_M845" w:id="640"/>
      <w:bookmarkEnd w:id="640"/>
      <w:proofErr w:type="gramEnd"/>
    </w:p>
    <w:p w:rsidRPr="00B71D5E" w:rsidR="00B36EC7" w:rsidP="00EC532C" w:rsidRDefault="00B36EC7" w14:paraId="18CF8330"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 xml:space="preserve">the addition, substitution or partial or entire release of any guarantor, maker, or other Parson (including Company) primarily or secondarily liable or responsible for the payment and observance of the Guaranteed Obligations or by any extension, waiver, amendment, or other action or instrument that may release or discharge (in whole or in part) a guarantor, maker, or </w:t>
      </w:r>
      <w:r>
        <w:rPr>
          <w:rFonts w:ascii="Arial" w:hAnsi="Arial" w:eastAsia="Times New Roman" w:cs="Arial"/>
          <w:b/>
          <w:bCs/>
          <w:sz w:val="20"/>
          <w:szCs w:val="20"/>
        </w:rPr>
        <w:t>other Person</w:t>
      </w:r>
      <w:r>
        <w:rPr>
          <w:rFonts w:ascii="Arial" w:hAnsi="Arial" w:eastAsia="Times New Roman" w:cs="Arial"/>
          <w:b/>
          <w:sz w:val="20"/>
          <w:szCs w:val="20"/>
        </w:rPr>
        <w:t xml:space="preserve"> (other than as a result of the indefeasible payment of the Guaranteed Obligations in full);</w:t>
      </w:r>
      <w:bookmarkStart w:name="_DV_M846" w:id="641"/>
      <w:bookmarkEnd w:id="641"/>
    </w:p>
    <w:p w:rsidRPr="003E6F78" w:rsidR="00B36EC7" w:rsidP="00EC532C" w:rsidRDefault="00B36EC7" w14:paraId="6BE88A86" w14:textId="77777777">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 xml:space="preserve">the taking, variation, renewal, addition, substitution, subordination, or partial or entire release of any security or other credit support for the Guaranteed Obligations, or the enforcement or neglect to perfect or enforce </w:t>
      </w:r>
      <w:r>
        <w:rPr>
          <w:rFonts w:ascii="Arial" w:hAnsi="Arial" w:eastAsia="Times New Roman" w:cs="Arial"/>
          <w:b/>
          <w:bCs/>
          <w:sz w:val="20"/>
          <w:szCs w:val="20"/>
        </w:rPr>
        <w:t>the</w:t>
      </w:r>
      <w:r>
        <w:rPr>
          <w:rFonts w:ascii="Arial" w:hAnsi="Arial" w:eastAsia="Times New Roman" w:cs="Arial"/>
          <w:b/>
          <w:sz w:val="20"/>
          <w:szCs w:val="20"/>
        </w:rPr>
        <w:t xml:space="preserve"> security or support; or </w:t>
      </w:r>
      <w:bookmarkStart w:name="_DV_M847" w:id="642"/>
      <w:bookmarkEnd w:id="642"/>
    </w:p>
    <w:p w:rsidRPr="003E6F78" w:rsidR="00B36EC7" w:rsidP="00EC532C" w:rsidRDefault="00B36EC7" w14:paraId="53171876" w14:textId="3A89E8EB">
      <w:pPr>
        <w:widowControl w:val="0"/>
        <w:numPr>
          <w:ilvl w:val="6"/>
          <w:numId w:val="7"/>
        </w:numPr>
        <w:tabs>
          <w:tab w:val="left" w:pos="1080"/>
          <w:tab w:val="left" w:pos="5788"/>
        </w:tabs>
        <w:autoSpaceDE w:val="0"/>
        <w:autoSpaceDN w:val="0"/>
        <w:adjustRightInd w:val="0"/>
        <w:spacing w:before="120" w:after="120" w:line="240" w:lineRule="auto"/>
        <w:ind w:left="900"/>
        <w:jc w:val="both"/>
        <w:outlineLvl w:val="6"/>
        <w:rPr>
          <w:rFonts w:ascii="Arial" w:hAnsi="Arial" w:eastAsia="Times New Roman" w:cs="Arial"/>
          <w:b/>
          <w:sz w:val="20"/>
          <w:szCs w:val="20"/>
        </w:rPr>
      </w:pPr>
      <w:r>
        <w:rPr>
          <w:rFonts w:ascii="Arial" w:hAnsi="Arial" w:eastAsia="Times New Roman" w:cs="Arial"/>
          <w:b/>
          <w:sz w:val="20"/>
          <w:szCs w:val="20"/>
        </w:rPr>
        <w:t>any circumstance whatsoever (including any statute of limitations) or any act of Beneficiary or any existence of or reliance on any representation by Beneficiary that might otherwise constitute a legal or equitable defense available to, or a discharge of, Guarantor.</w:t>
      </w:r>
    </w:p>
    <w:p w:rsidRPr="00B71D5E" w:rsidR="00B36EC7" w:rsidP="00B71D5E" w:rsidRDefault="00B36EC7" w14:paraId="3812425B" w14:textId="77777777">
      <w:pPr>
        <w:tabs>
          <w:tab w:val="left" w:pos="2160"/>
          <w:tab w:val="left" w:pos="5068"/>
        </w:tabs>
        <w:autoSpaceDE w:val="0"/>
        <w:autoSpaceDN w:val="0"/>
        <w:adjustRightInd w:val="0"/>
        <w:spacing w:before="120" w:after="120" w:line="240" w:lineRule="auto"/>
        <w:ind w:left="270"/>
        <w:jc w:val="both"/>
        <w:outlineLvl w:val="5"/>
        <w:rPr>
          <w:rFonts w:ascii="Arial" w:hAnsi="Arial" w:eastAsia="Times New Roman" w:cs="Arial"/>
          <w:sz w:val="20"/>
          <w:szCs w:val="20"/>
        </w:rPr>
      </w:pPr>
      <w:bookmarkStart w:name="_DV_M848" w:id="643"/>
      <w:bookmarkStart w:name="_DV_M849" w:id="644"/>
      <w:bookmarkEnd w:id="643"/>
      <w:bookmarkEnd w:id="644"/>
      <w:r>
        <w:rPr>
          <w:rFonts w:ascii="Arial" w:hAnsi="Arial" w:eastAsia="Times New Roman" w:cs="Arial"/>
          <w:b/>
          <w:sz w:val="20"/>
          <w:szCs w:val="20"/>
        </w:rPr>
        <w:t>2.2.2. Guarantee Effectiveness.</w:t>
      </w:r>
      <w:r>
        <w:rPr>
          <w:rFonts w:ascii="Arial" w:hAnsi="Arial" w:eastAsia="Times New Roman" w:cs="Arial"/>
          <w:sz w:val="20"/>
          <w:szCs w:val="20"/>
        </w:rPr>
        <w:t xml:space="preserve"> This Guaranty will continue to be effective or must be reinstated by Guarantor, as the case may be, if at any time any payment of the Guaranteed Obligations should for any reason subsequently be asserted or declared to be void or voidable, or is unwound in any way under any state or federal law, including any provision of the U.S. Bankruptcy Code related to fraudulent conveyance or preference (each, a “</w:t>
      </w:r>
      <w:r>
        <w:rPr>
          <w:rFonts w:ascii="Arial" w:hAnsi="Arial" w:eastAsia="Times New Roman" w:cs="Arial"/>
          <w:b/>
          <w:sz w:val="20"/>
          <w:szCs w:val="20"/>
        </w:rPr>
        <w:t>Voidable Transfer</w:t>
      </w:r>
      <w:r>
        <w:rPr>
          <w:rFonts w:ascii="Arial" w:hAnsi="Arial" w:eastAsia="Times New Roman" w:cs="Arial"/>
          <w:sz w:val="20"/>
          <w:szCs w:val="20"/>
        </w:rPr>
        <w:t>”). Beneficiary or any other person is not required to repay or restore, in whole or in part, any Voidable Transfer, and any attempt to repay or restore any Voidable Transfer will be construed as though the payment had not been made.</w:t>
      </w:r>
    </w:p>
    <w:p w:rsidRPr="00B71D5E" w:rsidR="00B36EC7" w:rsidP="00B71D5E" w:rsidRDefault="00B36EC7" w14:paraId="2F886E95" w14:textId="77777777">
      <w:pPr>
        <w:tabs>
          <w:tab w:val="left" w:pos="2160"/>
          <w:tab w:val="left" w:pos="5068"/>
        </w:tabs>
        <w:autoSpaceDE w:val="0"/>
        <w:autoSpaceDN w:val="0"/>
        <w:adjustRightInd w:val="0"/>
        <w:spacing w:before="120" w:after="120" w:line="240" w:lineRule="auto"/>
        <w:ind w:left="270"/>
        <w:jc w:val="both"/>
        <w:outlineLvl w:val="5"/>
        <w:rPr>
          <w:rFonts w:ascii="Arial" w:hAnsi="Arial" w:eastAsia="Times New Roman" w:cs="Arial"/>
          <w:sz w:val="20"/>
          <w:szCs w:val="20"/>
        </w:rPr>
      </w:pPr>
      <w:r>
        <w:rPr>
          <w:rFonts w:ascii="Arial" w:hAnsi="Arial" w:eastAsia="Times New Roman" w:cs="Arial"/>
          <w:b/>
          <w:sz w:val="20"/>
          <w:szCs w:val="20"/>
        </w:rPr>
        <w:t>2.2.3.</w:t>
      </w:r>
      <w:r>
        <w:rPr>
          <w:rFonts w:ascii="Arial" w:hAnsi="Arial" w:eastAsia="Times New Roman" w:cs="Arial"/>
          <w:sz w:val="20"/>
          <w:szCs w:val="20"/>
        </w:rPr>
        <w:t xml:space="preserve"> </w:t>
      </w:r>
      <w:r>
        <w:rPr>
          <w:rFonts w:ascii="Arial" w:hAnsi="Arial" w:eastAsia="Times New Roman" w:cs="Arial"/>
          <w:b/>
          <w:sz w:val="20"/>
          <w:szCs w:val="20"/>
        </w:rPr>
        <w:t xml:space="preserve">No Release of Guaranty. </w:t>
      </w:r>
      <w:r>
        <w:rPr>
          <w:rFonts w:ascii="Arial" w:hAnsi="Arial" w:eastAsia="Times New Roman" w:cs="Arial"/>
          <w:sz w:val="20"/>
          <w:szCs w:val="20"/>
        </w:rPr>
        <w:t>No action that Beneficiary takes or fails to take in connection with the Guaranteed Obligations, or any security for the payment of any of the Guaranteed Obligations, nor any course of dealing with Company or any other person, will release Guarantor’s obligations under this Guaranty, affect this Guaranty in any way, or give Guarantor any recourse against Beneficiary.</w:t>
      </w:r>
    </w:p>
    <w:p w:rsidRPr="00B71D5E" w:rsidR="00B36EC7" w:rsidP="00B71D5E" w:rsidRDefault="00B36EC7" w14:paraId="20071595" w14:textId="77777777">
      <w:pPr>
        <w:tabs>
          <w:tab w:val="left" w:pos="2160"/>
          <w:tab w:val="left" w:pos="5068"/>
        </w:tabs>
        <w:spacing w:before="120" w:after="120" w:line="240" w:lineRule="auto"/>
        <w:ind w:left="270"/>
        <w:jc w:val="both"/>
        <w:outlineLvl w:val="5"/>
        <w:rPr>
          <w:rFonts w:ascii="Arial" w:hAnsi="Arial" w:eastAsia="Times New Roman" w:cs="Arial"/>
          <w:sz w:val="20"/>
          <w:szCs w:val="20"/>
        </w:rPr>
      </w:pPr>
      <w:bookmarkStart w:name="_DV_M850" w:id="645"/>
      <w:bookmarkEnd w:id="645"/>
      <w:r>
        <w:rPr>
          <w:rFonts w:ascii="Arial" w:hAnsi="Arial" w:eastAsia="Calibri" w:cs="Arial"/>
          <w:b/>
          <w:sz w:val="20"/>
          <w:szCs w:val="20"/>
        </w:rPr>
        <w:t>2.2.4. Enforcement following Seller Default.</w:t>
      </w:r>
      <w:r>
        <w:rPr>
          <w:rFonts w:ascii="Arial" w:hAnsi="Arial" w:eastAsia="Calibri" w:cs="Arial"/>
          <w:sz w:val="20"/>
          <w:szCs w:val="20"/>
        </w:rPr>
        <w:t xml:space="preserve"> </w:t>
      </w:r>
      <w:r>
        <w:rPr>
          <w:rFonts w:ascii="Arial" w:hAnsi="Arial" w:eastAsia="Times New Roman" w:cs="Arial"/>
          <w:sz w:val="20"/>
          <w:szCs w:val="20"/>
        </w:rPr>
        <w:t xml:space="preserve">In the case of Seller Default under the </w:t>
      </w:r>
      <w:r>
        <w:rPr>
          <w:rFonts w:ascii="Arial" w:hAnsi="Arial" w:eastAsia="Times New Roman" w:cs="Arial"/>
          <w:spacing w:val="-4"/>
          <w:kern w:val="14"/>
          <w:sz w:val="20"/>
          <w:szCs w:val="20"/>
        </w:rPr>
        <w:t>APA</w:t>
      </w:r>
      <w:r>
        <w:rPr>
          <w:rFonts w:ascii="Arial" w:hAnsi="Arial" w:eastAsia="Times New Roman" w:cs="Arial"/>
          <w:sz w:val="20"/>
          <w:szCs w:val="20"/>
        </w:rPr>
        <w:t xml:space="preserve"> or Seller’s failure to perform any of the Guaranteed Obligations, Guarantor agrees that Beneficiary will have the right to enforce its rights, powers, and remedies under the </w:t>
      </w:r>
      <w:r>
        <w:rPr>
          <w:rFonts w:ascii="Arial" w:hAnsi="Arial" w:eastAsia="Times New Roman" w:cs="Arial"/>
          <w:spacing w:val="-4"/>
          <w:kern w:val="14"/>
          <w:sz w:val="20"/>
          <w:szCs w:val="20"/>
        </w:rPr>
        <w:t>APA</w:t>
      </w:r>
      <w:r>
        <w:rPr>
          <w:rFonts w:ascii="Arial" w:hAnsi="Arial" w:eastAsia="Times New Roman" w:cs="Arial"/>
          <w:sz w:val="20"/>
          <w:szCs w:val="20"/>
        </w:rPr>
        <w:t xml:space="preserve"> and Guaranty or under any other instrument now or in the future evidencing, securing, or otherwise relating to the Guaranteed Obligations, and apply any payments or credits received by Company or Guarantor or realized from any security, in any manner and in any order as Beneficiary, in its sole discretion, sees fit, and all rights, powers, and remedies available to Beneficiary in that event will be nonexclusive and cumulative of all other rights, powers, and remedies provided under the </w:t>
      </w:r>
      <w:r>
        <w:rPr>
          <w:rFonts w:ascii="Arial" w:hAnsi="Arial" w:eastAsia="Times New Roman" w:cs="Arial"/>
          <w:spacing w:val="-4"/>
          <w:kern w:val="14"/>
          <w:sz w:val="20"/>
          <w:szCs w:val="20"/>
        </w:rPr>
        <w:t>APA</w:t>
      </w:r>
      <w:r>
        <w:rPr>
          <w:rFonts w:ascii="Arial" w:hAnsi="Arial" w:eastAsia="Times New Roman" w:cs="Arial"/>
          <w:sz w:val="20"/>
          <w:szCs w:val="20"/>
        </w:rPr>
        <w:t>, this Guaranty, by law, or in equity. If the Guaranteed Obligations are partially paid at the election of Beneficiary or Beneficiary’s successors or assigns, to pursue any of the remedies available to Beneficiary, or if the indebtedness is otherwise partially paid, this Guaranty will nevertheless remain in full force and effect, and Guarantor will remain liable for the entire balance of the Guaranteed Obligations even though any rights that Guarantor may have against Company may be destroyed or diminished by the exercise of the remedy.</w:t>
      </w:r>
    </w:p>
    <w:p w:rsidRPr="00B71D5E" w:rsidR="00B36EC7" w:rsidP="00EC532C" w:rsidRDefault="00B36EC7" w14:paraId="4AD3CB99" w14:textId="77777777">
      <w:pPr>
        <w:keepNext/>
        <w:keepLines/>
        <w:numPr>
          <w:ilvl w:val="1"/>
          <w:numId w:val="9"/>
        </w:numPr>
        <w:tabs>
          <w:tab w:val="left" w:pos="540"/>
        </w:tabs>
        <w:autoSpaceDE w:val="0"/>
        <w:autoSpaceDN w:val="0"/>
        <w:adjustRightInd w:val="0"/>
        <w:spacing w:before="120" w:after="120" w:line="240" w:lineRule="auto"/>
        <w:jc w:val="both"/>
        <w:outlineLvl w:val="1"/>
        <w:rPr>
          <w:rFonts w:ascii="Arial" w:hAnsi="Arial" w:eastAsia="Times New Roman" w:cs="Arial"/>
          <w:b/>
          <w:sz w:val="20"/>
          <w:szCs w:val="20"/>
        </w:rPr>
      </w:pPr>
      <w:bookmarkStart w:name="_DV_M851" w:id="646"/>
      <w:bookmarkStart w:name="_Toc143607318" w:id="647"/>
      <w:bookmarkEnd w:id="646"/>
      <w:r>
        <w:rPr>
          <w:rFonts w:ascii="Arial" w:hAnsi="Arial" w:eastAsia="Times New Roman" w:cs="Arial"/>
          <w:b/>
          <w:sz w:val="20"/>
          <w:szCs w:val="20"/>
        </w:rPr>
        <w:lastRenderedPageBreak/>
        <w:t>Waivers and Acknowledgments.</w:t>
      </w:r>
      <w:bookmarkEnd w:id="647"/>
    </w:p>
    <w:p w:rsidRPr="003E6F78" w:rsidR="00B36EC7" w:rsidP="00B71D5E" w:rsidRDefault="00B36EC7" w14:paraId="3A367796" w14:textId="77777777">
      <w:pPr>
        <w:keepNext/>
        <w:keepLines/>
        <w:autoSpaceDE w:val="0"/>
        <w:autoSpaceDN w:val="0"/>
        <w:adjustRightInd w:val="0"/>
        <w:spacing w:before="120" w:after="120" w:line="240" w:lineRule="auto"/>
        <w:ind w:left="270"/>
        <w:jc w:val="both"/>
        <w:outlineLvl w:val="5"/>
        <w:rPr>
          <w:rFonts w:ascii="Arial" w:hAnsi="Arial" w:eastAsia="Times New Roman" w:cs="Arial"/>
          <w:sz w:val="20"/>
          <w:szCs w:val="20"/>
        </w:rPr>
      </w:pPr>
      <w:bookmarkStart w:name="_DV_M852" w:id="648"/>
      <w:bookmarkEnd w:id="648"/>
      <w:r>
        <w:rPr>
          <w:rFonts w:ascii="Arial" w:hAnsi="Arial" w:eastAsia="Times New Roman" w:cs="Arial"/>
          <w:b/>
          <w:sz w:val="20"/>
          <w:szCs w:val="20"/>
        </w:rPr>
        <w:t>2.3.1. Guarantor Notice Waiver.</w:t>
      </w:r>
      <w:r>
        <w:rPr>
          <w:rFonts w:ascii="Arial" w:hAnsi="Arial" w:eastAsia="Times New Roman" w:cs="Arial"/>
          <w:sz w:val="20"/>
          <w:szCs w:val="20"/>
        </w:rPr>
        <w:t xml:space="preserve"> Guarantor unconditionally and irrevocably waives promptness, diligence, presentment, demand of payment, acceptance, notice of acceptance, protest, notice of dishonor, and any other notices regarding any of the Guaranteed Obligations and this Guaranty.</w:t>
      </w:r>
    </w:p>
    <w:p w:rsidRPr="003E6F78" w:rsidR="00B36EC7" w:rsidP="00B71D5E" w:rsidRDefault="00B36EC7" w14:paraId="56968883" w14:textId="77777777">
      <w:pPr>
        <w:tabs>
          <w:tab w:val="left" w:pos="2160"/>
        </w:tabs>
        <w:autoSpaceDE w:val="0"/>
        <w:autoSpaceDN w:val="0"/>
        <w:adjustRightInd w:val="0"/>
        <w:spacing w:before="120" w:after="120" w:line="240" w:lineRule="auto"/>
        <w:ind w:left="270"/>
        <w:jc w:val="both"/>
        <w:outlineLvl w:val="5"/>
        <w:rPr>
          <w:rFonts w:ascii="Arial" w:hAnsi="Arial" w:eastAsia="Times New Roman" w:cs="Arial"/>
          <w:sz w:val="20"/>
          <w:szCs w:val="20"/>
        </w:rPr>
      </w:pPr>
      <w:r>
        <w:rPr>
          <w:rFonts w:ascii="Arial" w:hAnsi="Arial" w:eastAsia="Times New Roman" w:cs="Arial"/>
          <w:b/>
          <w:sz w:val="20"/>
          <w:szCs w:val="20"/>
        </w:rPr>
        <w:t xml:space="preserve">2.3.2. Guarantor Waiver of Guaranty and Acknowledgement of Continuing Obligations. </w:t>
      </w:r>
      <w:r>
        <w:rPr>
          <w:rFonts w:ascii="Arial" w:hAnsi="Arial" w:eastAsia="Times New Roman" w:cs="Arial"/>
          <w:sz w:val="20"/>
          <w:szCs w:val="20"/>
        </w:rPr>
        <w:t xml:space="preserve">Guarantor unconditionally and irrevocably waives any right to revoke this Guaranty and acknowledges that this Guaranty is continuing in nature and applies to all Guaranteed Obligations, whether existing now or in the future. The provisions of this Guaranty will extend and be applicable to any modification of the </w:t>
      </w:r>
      <w:r>
        <w:rPr>
          <w:rFonts w:ascii="Arial" w:hAnsi="Arial" w:eastAsia="Times New Roman" w:cs="Arial"/>
          <w:spacing w:val="-4"/>
          <w:kern w:val="14"/>
          <w:sz w:val="20"/>
          <w:szCs w:val="20"/>
        </w:rPr>
        <w:t>APA</w:t>
      </w:r>
      <w:r>
        <w:rPr>
          <w:rFonts w:ascii="Arial" w:hAnsi="Arial" w:eastAsia="Times New Roman" w:cs="Arial"/>
          <w:sz w:val="20"/>
          <w:szCs w:val="20"/>
        </w:rPr>
        <w:t>.</w:t>
      </w:r>
    </w:p>
    <w:p w:rsidRPr="003E6F78" w:rsidR="00B36EC7" w:rsidP="00B71D5E" w:rsidRDefault="00B36EC7" w14:paraId="67FFED51" w14:textId="77777777">
      <w:pPr>
        <w:tabs>
          <w:tab w:val="left" w:pos="2160"/>
          <w:tab w:val="left" w:pos="5068"/>
        </w:tabs>
        <w:autoSpaceDE w:val="0"/>
        <w:autoSpaceDN w:val="0"/>
        <w:adjustRightInd w:val="0"/>
        <w:spacing w:before="120" w:after="120" w:line="240" w:lineRule="auto"/>
        <w:ind w:left="270"/>
        <w:jc w:val="both"/>
        <w:outlineLvl w:val="5"/>
        <w:rPr>
          <w:rFonts w:ascii="Arial" w:hAnsi="Arial" w:eastAsia="Times New Roman" w:cs="Arial"/>
          <w:sz w:val="20"/>
          <w:szCs w:val="20"/>
        </w:rPr>
      </w:pPr>
      <w:bookmarkStart w:name="_DV_M854" w:id="649"/>
      <w:bookmarkEnd w:id="649"/>
      <w:r>
        <w:rPr>
          <w:rFonts w:ascii="Arial" w:hAnsi="Arial" w:eastAsia="Times New Roman" w:cs="Arial"/>
          <w:b/>
          <w:sz w:val="20"/>
          <w:szCs w:val="20"/>
        </w:rPr>
        <w:t>2.3.3. Waiver of Rights and Remedies.</w:t>
      </w:r>
      <w:r>
        <w:rPr>
          <w:rFonts w:ascii="Arial" w:hAnsi="Arial" w:eastAsia="Times New Roman" w:cs="Arial"/>
          <w:sz w:val="20"/>
          <w:szCs w:val="20"/>
        </w:rPr>
        <w:t xml:space="preserve"> Guarantor unconditionally and irrevocably waives all rights and remedies accorded by application of law to sureties or guarantors and Guarantor must not assert or take advantage of those rights or remedies, including:</w:t>
      </w:r>
    </w:p>
    <w:p w:rsidRPr="00B71D5E" w:rsidR="00B36EC7" w:rsidP="00EC532C" w:rsidRDefault="00B36EC7" w14:paraId="6040338F" w14:textId="77777777">
      <w:pPr>
        <w:widowControl w:val="0"/>
        <w:numPr>
          <w:ilvl w:val="6"/>
          <w:numId w:val="8"/>
        </w:numPr>
        <w:tabs>
          <w:tab w:val="left" w:pos="1260"/>
          <w:tab w:val="left" w:pos="2160"/>
          <w:tab w:val="left" w:pos="5788"/>
        </w:tabs>
        <w:autoSpaceDE w:val="0"/>
        <w:autoSpaceDN w:val="0"/>
        <w:adjustRightInd w:val="0"/>
        <w:spacing w:before="120" w:after="120" w:line="240" w:lineRule="auto"/>
        <w:ind w:left="806" w:firstLine="4"/>
        <w:jc w:val="both"/>
        <w:outlineLvl w:val="6"/>
        <w:rPr>
          <w:rFonts w:ascii="Arial" w:hAnsi="Arial" w:eastAsia="Times New Roman" w:cs="Arial"/>
          <w:sz w:val="20"/>
          <w:szCs w:val="20"/>
        </w:rPr>
      </w:pPr>
      <w:bookmarkStart w:name="_DV_M855" w:id="650"/>
      <w:bookmarkEnd w:id="650"/>
      <w:r>
        <w:rPr>
          <w:rFonts w:ascii="Arial" w:hAnsi="Arial" w:eastAsia="Times New Roman" w:cs="Arial"/>
          <w:sz w:val="20"/>
          <w:szCs w:val="20"/>
        </w:rPr>
        <w:t xml:space="preserve">any right to require Beneficiary to proceed against Company or any other person or to proceed against or exhaust any security held by Beneficiary at any time or to pursue any other remedy in Beneficiary’s power before proceeding against </w:t>
      </w:r>
      <w:proofErr w:type="gramStart"/>
      <w:r>
        <w:rPr>
          <w:rFonts w:ascii="Arial" w:hAnsi="Arial" w:eastAsia="Times New Roman" w:cs="Arial"/>
          <w:sz w:val="20"/>
          <w:szCs w:val="20"/>
        </w:rPr>
        <w:t>Guarantor;</w:t>
      </w:r>
      <w:bookmarkStart w:name="_DV_M856" w:id="651"/>
      <w:bookmarkEnd w:id="651"/>
      <w:proofErr w:type="gramEnd"/>
    </w:p>
    <w:p w:rsidRPr="00B71D5E" w:rsidR="00B36EC7" w:rsidP="00EC532C" w:rsidRDefault="00B36EC7" w14:paraId="1A06EDD0" w14:textId="77777777">
      <w:pPr>
        <w:widowControl w:val="0"/>
        <w:numPr>
          <w:ilvl w:val="6"/>
          <w:numId w:val="8"/>
        </w:numPr>
        <w:tabs>
          <w:tab w:val="left" w:pos="1260"/>
          <w:tab w:val="left" w:pos="2160"/>
          <w:tab w:val="left" w:pos="5788"/>
        </w:tabs>
        <w:autoSpaceDE w:val="0"/>
        <w:autoSpaceDN w:val="0"/>
        <w:adjustRightInd w:val="0"/>
        <w:spacing w:before="120" w:after="120" w:line="240" w:lineRule="auto"/>
        <w:ind w:left="806" w:firstLine="4"/>
        <w:jc w:val="both"/>
        <w:outlineLvl w:val="6"/>
        <w:rPr>
          <w:rFonts w:ascii="Arial" w:hAnsi="Arial" w:eastAsia="Times New Roman" w:cs="Arial"/>
          <w:sz w:val="20"/>
          <w:szCs w:val="20"/>
        </w:rPr>
      </w:pPr>
      <w:r>
        <w:rPr>
          <w:rFonts w:ascii="Arial" w:hAnsi="Arial" w:eastAsia="Times New Roman" w:cs="Arial"/>
          <w:sz w:val="20"/>
          <w:szCs w:val="20"/>
        </w:rPr>
        <w:t>any defense that may arise because of the incapacity, lack of authority, death, or disability of any other Person or the failure of Beneficiary to file or enforce a claim against the estate (in administration, bankruptcy, or any other proceeding) of any other Person; or</w:t>
      </w:r>
      <w:bookmarkStart w:name="_DV_M857" w:id="652"/>
      <w:bookmarkEnd w:id="652"/>
    </w:p>
    <w:p w:rsidRPr="00B71D5E" w:rsidR="00B36EC7" w:rsidP="00EC532C" w:rsidRDefault="00B36EC7" w14:paraId="16DDF784" w14:textId="77777777">
      <w:pPr>
        <w:widowControl w:val="0"/>
        <w:numPr>
          <w:ilvl w:val="6"/>
          <w:numId w:val="8"/>
        </w:numPr>
        <w:tabs>
          <w:tab w:val="left" w:pos="1260"/>
          <w:tab w:val="left" w:pos="2160"/>
          <w:tab w:val="left" w:pos="5788"/>
        </w:tabs>
        <w:autoSpaceDE w:val="0"/>
        <w:autoSpaceDN w:val="0"/>
        <w:adjustRightInd w:val="0"/>
        <w:spacing w:before="120" w:after="120" w:line="240" w:lineRule="auto"/>
        <w:ind w:left="806" w:firstLine="4"/>
        <w:jc w:val="both"/>
        <w:outlineLvl w:val="6"/>
        <w:rPr>
          <w:rFonts w:ascii="Arial" w:hAnsi="Arial" w:eastAsia="Times New Roman" w:cs="Arial"/>
          <w:sz w:val="20"/>
          <w:szCs w:val="20"/>
        </w:rPr>
      </w:pPr>
      <w:r>
        <w:rPr>
          <w:rFonts w:ascii="Arial" w:hAnsi="Arial" w:eastAsia="Times New Roman" w:cs="Arial"/>
          <w:sz w:val="20"/>
          <w:szCs w:val="20"/>
        </w:rPr>
        <w:t xml:space="preserve">any defense arising because of the exercise of any right or remedy available to, or election made by, Beneficiary </w:t>
      </w:r>
      <w:r>
        <w:rPr>
          <w:rFonts w:ascii="Arial" w:hAnsi="Arial" w:eastAsia="Yu Mincho" w:cs="Arial"/>
          <w:sz w:val="20"/>
          <w:szCs w:val="20"/>
        </w:rPr>
        <w:t>under</w:t>
      </w:r>
      <w:r>
        <w:rPr>
          <w:rFonts w:ascii="Arial" w:hAnsi="Arial" w:eastAsia="Times New Roman" w:cs="Arial"/>
          <w:sz w:val="20"/>
          <w:szCs w:val="20"/>
        </w:rPr>
        <w:t xml:space="preserve"> the U.S. Bankruptcy Code, whether as an unsecured or under secured creditor, seeking adequate protection or otherwise.</w:t>
      </w:r>
    </w:p>
    <w:p w:rsidRPr="00B71D5E" w:rsidR="00B36EC7" w:rsidP="00B71D5E" w:rsidRDefault="00B36EC7" w14:paraId="5C6D4A35" w14:textId="77777777">
      <w:pPr>
        <w:tabs>
          <w:tab w:val="left" w:pos="2160"/>
          <w:tab w:val="left" w:pos="5068"/>
        </w:tabs>
        <w:autoSpaceDE w:val="0"/>
        <w:autoSpaceDN w:val="0"/>
        <w:adjustRightInd w:val="0"/>
        <w:spacing w:before="120" w:after="120" w:line="240" w:lineRule="auto"/>
        <w:ind w:left="270"/>
        <w:jc w:val="both"/>
        <w:outlineLvl w:val="5"/>
        <w:rPr>
          <w:rFonts w:ascii="Arial" w:hAnsi="Arial" w:eastAsia="Times New Roman" w:cs="Arial"/>
          <w:sz w:val="20"/>
          <w:szCs w:val="20"/>
        </w:rPr>
      </w:pPr>
      <w:bookmarkStart w:name="_DV_M858" w:id="653"/>
      <w:bookmarkEnd w:id="653"/>
      <w:r>
        <w:rPr>
          <w:rFonts w:ascii="Arial" w:hAnsi="Arial" w:eastAsia="Times New Roman" w:cs="Arial"/>
          <w:b/>
          <w:sz w:val="20"/>
          <w:szCs w:val="20"/>
        </w:rPr>
        <w:t>2.3.4. Guarantor’s Waiver of Defenses Based on Set-Off or Counterclaim.</w:t>
      </w:r>
      <w:r>
        <w:rPr>
          <w:rFonts w:ascii="Arial" w:hAnsi="Arial" w:eastAsia="Times New Roman" w:cs="Arial"/>
          <w:sz w:val="20"/>
          <w:szCs w:val="20"/>
        </w:rPr>
        <w:t xml:space="preserve"> Guarantor unconditionally and irrevocably waives any defense based on any right of set-off or counterclaim against or concerning the obligations of Guarantor under this Guaranty.</w:t>
      </w:r>
    </w:p>
    <w:p w:rsidRPr="00B71D5E" w:rsidR="00B36EC7" w:rsidP="00B71D5E" w:rsidRDefault="00B36EC7" w14:paraId="67C4C97D" w14:textId="77777777">
      <w:pPr>
        <w:autoSpaceDE w:val="0"/>
        <w:autoSpaceDN w:val="0"/>
        <w:adjustRightInd w:val="0"/>
        <w:spacing w:before="120" w:after="120" w:line="240" w:lineRule="auto"/>
        <w:ind w:left="270"/>
        <w:jc w:val="both"/>
        <w:outlineLvl w:val="5"/>
        <w:rPr>
          <w:rFonts w:ascii="Arial" w:hAnsi="Arial" w:eastAsia="Times New Roman" w:cs="Arial"/>
          <w:sz w:val="20"/>
          <w:szCs w:val="20"/>
        </w:rPr>
      </w:pPr>
      <w:bookmarkStart w:name="_DV_M859" w:id="654"/>
      <w:bookmarkEnd w:id="654"/>
      <w:r>
        <w:rPr>
          <w:rFonts w:ascii="Arial" w:hAnsi="Arial" w:eastAsia="Times New Roman" w:cs="Arial"/>
          <w:b/>
          <w:sz w:val="20"/>
          <w:szCs w:val="20"/>
        </w:rPr>
        <w:t>2.3.5.</w:t>
      </w:r>
      <w:r>
        <w:rPr>
          <w:rFonts w:ascii="Arial" w:hAnsi="Arial" w:eastAsia="Times New Roman" w:cs="Arial"/>
          <w:sz w:val="20"/>
          <w:szCs w:val="20"/>
        </w:rPr>
        <w:t xml:space="preserve"> </w:t>
      </w:r>
      <w:r>
        <w:rPr>
          <w:rFonts w:ascii="Arial" w:hAnsi="Arial" w:eastAsia="Times New Roman" w:cs="Arial"/>
          <w:b/>
          <w:sz w:val="20"/>
          <w:szCs w:val="20"/>
        </w:rPr>
        <w:t xml:space="preserve">Guarantor Waiver of Defenses, Claims, and Discharges. </w:t>
      </w:r>
      <w:r>
        <w:rPr>
          <w:rFonts w:ascii="Arial" w:hAnsi="Arial" w:eastAsia="Times New Roman" w:cs="Arial"/>
          <w:sz w:val="20"/>
          <w:szCs w:val="20"/>
        </w:rPr>
        <w:t xml:space="preserve">Guarantor unconditionally and irrevocably waives all defenses, claims, and discharges of Company, or any other obligor regarding the Guaranteed Obligations. Without limiting the generality of the preceding sentence, Guarantor will not assert, plead, or enforce against Beneficiary or any other Person any defense of waiver, release, statute of limitations, res judicata, statute of frauds, fraud, incapacity, minority, usury, illegality, or unenforceability that may be available to Company or any other person liable concerning any indebtedness, or any setoff available against Beneficiary to Company or any other Person, whether or not on account of a related transaction. Guarantor expressly waives reliance on any anti-deficiency statute(s). If a foreclosure proceeding is commenced, Guarantor expressly agrees that Guarantor will be and remain unconditionally liable, to the fullest extent permitted by applicable law, for any deficiency remaining after foreclosure of any mortgage or security interest securing indebtedness, whether or not the liability of Company or any other person for the deficiency is discharged </w:t>
      </w:r>
      <w:r>
        <w:rPr>
          <w:rFonts w:ascii="Arial" w:hAnsi="Arial" w:eastAsia="Calibri" w:cs="Arial"/>
          <w:sz w:val="20"/>
          <w:szCs w:val="20"/>
        </w:rPr>
        <w:t>under</w:t>
      </w:r>
      <w:r>
        <w:rPr>
          <w:rFonts w:ascii="Arial" w:hAnsi="Arial" w:eastAsia="Times New Roman" w:cs="Arial"/>
          <w:sz w:val="20"/>
          <w:szCs w:val="20"/>
        </w:rPr>
        <w:t xml:space="preserve"> statute or judicial decision.</w:t>
      </w:r>
    </w:p>
    <w:p w:rsidRPr="00B71D5E" w:rsidR="00B36EC7" w:rsidP="00B71D5E" w:rsidRDefault="00B36EC7" w14:paraId="0372B261"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0" w:id="655"/>
      <w:bookmarkStart w:name="_Toc143607319" w:id="656"/>
      <w:bookmarkEnd w:id="655"/>
      <w:r>
        <w:rPr>
          <w:rFonts w:ascii="Arial" w:hAnsi="Arial" w:eastAsia="Times New Roman" w:cs="Arial"/>
          <w:b/>
          <w:sz w:val="20"/>
          <w:szCs w:val="20"/>
        </w:rPr>
        <w:t>2.4</w:t>
      </w:r>
      <w:r>
        <w:rPr>
          <w:rFonts w:ascii="Arial" w:hAnsi="Arial" w:eastAsia="Times New Roman" w:cs="Arial"/>
          <w:b/>
          <w:sz w:val="20"/>
          <w:szCs w:val="20"/>
        </w:rPr>
        <w:tab/>
        <w:t>Subrogation.</w:t>
      </w:r>
      <w:r>
        <w:rPr>
          <w:rFonts w:ascii="Arial" w:hAnsi="Arial" w:eastAsia="Times New Roman" w:cs="Arial"/>
          <w:sz w:val="20"/>
          <w:szCs w:val="20"/>
        </w:rPr>
        <w:t xml:space="preserve"> Despite any payment or payments made by Guarantor under this Guaranty, Guarantor unconditionally and irrevocably waives any rights of subrogation to the rights of Beneficiary against Company and any rights of reimbursement, assignment, indemnification, or implied contract or any similar rights (including any statutory rights of subrogation under U.S. Bankruptcy Code Section 509 (11 U.S.C. § 509)) against Company or against any other guarantor of all or any part of the Guaranteed Obligations until when the Guaranteed Obligations have been indefeasibly performed in full. If, despite the preceding sentence, any amount will be paid to Guarantor on account of the subrogation or similar rights at any time when all of the Guaranteed Obligations will not have been indefeasibly paid in full, those amounts will be held by Guarantor in trust for Beneficiary and Guarantor must turn over to Beneficiary those amounts in the exact form received by Guarantor, to be applied against the Guaranteed Obligations in the order that Beneficiary may determine in Beneficiary’s sole discretion.</w:t>
      </w:r>
      <w:bookmarkEnd w:id="656"/>
    </w:p>
    <w:p w:rsidRPr="00B71D5E" w:rsidR="00B36EC7" w:rsidP="00B71D5E" w:rsidRDefault="00B36EC7" w14:paraId="6231F147"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1" w:id="657"/>
      <w:bookmarkStart w:name="_Toc143607320" w:id="658"/>
      <w:bookmarkEnd w:id="657"/>
      <w:r>
        <w:rPr>
          <w:rFonts w:ascii="Arial" w:hAnsi="Arial" w:eastAsia="Times New Roman" w:cs="Arial"/>
          <w:b/>
          <w:sz w:val="20"/>
          <w:szCs w:val="20"/>
        </w:rPr>
        <w:t>2.5</w:t>
      </w:r>
      <w:r>
        <w:rPr>
          <w:rFonts w:ascii="Arial" w:hAnsi="Arial" w:eastAsia="Times New Roman" w:cs="Arial"/>
          <w:b/>
          <w:i/>
          <w:sz w:val="20"/>
          <w:szCs w:val="20"/>
        </w:rPr>
        <w:tab/>
      </w:r>
      <w:r>
        <w:rPr>
          <w:rFonts w:ascii="Arial" w:hAnsi="Arial" w:eastAsia="Times New Roman" w:cs="Arial"/>
          <w:b/>
          <w:sz w:val="20"/>
          <w:szCs w:val="20"/>
        </w:rPr>
        <w:t>Contribution, Indemnification, Reimbursement.</w:t>
      </w:r>
      <w:r>
        <w:rPr>
          <w:rFonts w:ascii="Arial" w:hAnsi="Arial" w:eastAsia="Times New Roman" w:cs="Arial"/>
          <w:sz w:val="20"/>
          <w:szCs w:val="20"/>
        </w:rPr>
        <w:t xml:space="preserve"> Guarantor unconditionally, irrevocably, and absolutely waives all right of contribution, indemnification, reimbursement, or similar rights against Company regarding the Guaranty, whether the rights arise under an express or implied contract or by operation of law, and it is the intention of Guarantor and Company that Guarantor will not be deemed to be a “creditor” (as defined in U.S. Bankruptcy Code Section 101 or any other applicable law) of Company because of the existence of this Guaranty if Company becomes a debtor in any proceeding under the U.S. Bankruptcy Code or any other applicable law.</w:t>
      </w:r>
      <w:bookmarkEnd w:id="658"/>
    </w:p>
    <w:p w:rsidRPr="00B71D5E" w:rsidR="00B36EC7" w:rsidP="00B71D5E" w:rsidRDefault="00B36EC7" w14:paraId="310219EB"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2" w:id="659"/>
      <w:bookmarkStart w:name="_Toc143607321" w:id="660"/>
      <w:bookmarkEnd w:id="659"/>
      <w:r>
        <w:rPr>
          <w:rFonts w:ascii="Arial" w:hAnsi="Arial" w:eastAsia="Times New Roman" w:cs="Arial"/>
          <w:b/>
          <w:sz w:val="20"/>
          <w:szCs w:val="20"/>
        </w:rPr>
        <w:t>2.6</w:t>
      </w:r>
      <w:r>
        <w:rPr>
          <w:rFonts w:ascii="Arial" w:hAnsi="Arial" w:eastAsia="Times New Roman" w:cs="Arial"/>
          <w:i/>
          <w:sz w:val="20"/>
          <w:szCs w:val="20"/>
        </w:rPr>
        <w:tab/>
      </w:r>
      <w:r>
        <w:rPr>
          <w:rFonts w:ascii="Arial" w:hAnsi="Arial" w:eastAsia="Times New Roman" w:cs="Arial"/>
          <w:b/>
          <w:sz w:val="20"/>
          <w:szCs w:val="20"/>
        </w:rPr>
        <w:t>Agreement regarding Bankruptcy of Company.</w:t>
      </w:r>
      <w:r>
        <w:rPr>
          <w:rFonts w:ascii="Arial" w:hAnsi="Arial" w:eastAsia="Times New Roman" w:cs="Arial"/>
          <w:sz w:val="20"/>
          <w:szCs w:val="20"/>
        </w:rPr>
        <w:t xml:space="preserve"> So long as any Guaranteed Obligations are owed to Beneficiary, Guarantor must not, without the prior written consent of Beneficiary, commence, or join with any other person in commencing, any bankruptcy, reorganization, or insolvency proceeding against Company.</w:t>
      </w:r>
      <w:bookmarkEnd w:id="660"/>
    </w:p>
    <w:p w:rsidRPr="00B71D5E" w:rsidR="00B36EC7" w:rsidP="00B71D5E" w:rsidRDefault="00B36EC7" w14:paraId="38A92024" w14:textId="77777777">
      <w:pPr>
        <w:keepNext/>
        <w:autoSpaceDE w:val="0"/>
        <w:autoSpaceDN w:val="0"/>
        <w:adjustRightInd w:val="0"/>
        <w:spacing w:before="120" w:after="120" w:line="240" w:lineRule="auto"/>
        <w:outlineLvl w:val="0"/>
        <w:rPr>
          <w:rFonts w:ascii="Arial" w:hAnsi="Arial" w:eastAsia="Times New Roman" w:cs="Arial"/>
          <w:b/>
          <w:caps/>
          <w:sz w:val="20"/>
          <w:szCs w:val="20"/>
        </w:rPr>
      </w:pPr>
      <w:bookmarkStart w:name="_DV_M863" w:id="661"/>
      <w:bookmarkStart w:name="_Toc143607322" w:id="662"/>
      <w:bookmarkEnd w:id="661"/>
      <w:r>
        <w:rPr>
          <w:rFonts w:ascii="Arial" w:hAnsi="Arial" w:eastAsia="Times New Roman" w:cs="Arial"/>
          <w:b/>
          <w:caps/>
          <w:sz w:val="20"/>
          <w:szCs w:val="20"/>
        </w:rPr>
        <w:lastRenderedPageBreak/>
        <w:t>PART 3 – Representations and Warranties</w:t>
      </w:r>
      <w:bookmarkEnd w:id="662"/>
    </w:p>
    <w:p w:rsidRPr="00B71D5E" w:rsidR="00B36EC7" w:rsidP="00B71D5E" w:rsidRDefault="00B36EC7" w14:paraId="4B42E1C4" w14:textId="77777777">
      <w:pPr>
        <w:spacing w:before="120" w:after="120" w:line="240" w:lineRule="auto"/>
        <w:jc w:val="both"/>
        <w:rPr>
          <w:rFonts w:ascii="Arial" w:hAnsi="Arial" w:eastAsia="Times New Roman" w:cs="Arial"/>
          <w:sz w:val="20"/>
          <w:szCs w:val="20"/>
        </w:rPr>
      </w:pPr>
      <w:bookmarkStart w:name="_DV_M864" w:id="663"/>
      <w:bookmarkEnd w:id="663"/>
      <w:r>
        <w:rPr>
          <w:rFonts w:ascii="Arial" w:hAnsi="Arial" w:eastAsia="Times New Roman" w:cs="Arial"/>
          <w:sz w:val="20"/>
          <w:szCs w:val="20"/>
        </w:rPr>
        <w:t>Guarantor hereby represents and warrants as follows:</w:t>
      </w:r>
    </w:p>
    <w:p w:rsidRPr="00B71D5E" w:rsidR="00B36EC7" w:rsidP="00B71D5E" w:rsidRDefault="00B36EC7" w14:paraId="5FDBEA20"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5" w:id="664"/>
      <w:bookmarkStart w:name="_Toc143607323" w:id="665"/>
      <w:bookmarkEnd w:id="664"/>
      <w:r>
        <w:rPr>
          <w:rFonts w:ascii="Arial" w:hAnsi="Arial" w:eastAsia="Times New Roman" w:cs="Arial"/>
          <w:b/>
          <w:sz w:val="20"/>
          <w:szCs w:val="20"/>
        </w:rPr>
        <w:t>3.1</w:t>
      </w:r>
      <w:r>
        <w:rPr>
          <w:rFonts w:ascii="Arial" w:hAnsi="Arial" w:eastAsia="Times New Roman" w:cs="Arial"/>
          <w:i/>
          <w:sz w:val="20"/>
          <w:szCs w:val="20"/>
        </w:rPr>
        <w:tab/>
      </w:r>
      <w:r>
        <w:rPr>
          <w:rFonts w:ascii="Arial" w:hAnsi="Arial" w:eastAsia="Times New Roman" w:cs="Arial"/>
          <w:b/>
          <w:sz w:val="20"/>
          <w:szCs w:val="20"/>
        </w:rPr>
        <w:t>Organization.</w:t>
      </w:r>
      <w:r>
        <w:rPr>
          <w:rFonts w:ascii="Arial" w:hAnsi="Arial" w:eastAsia="Times New Roman" w:cs="Arial"/>
          <w:sz w:val="20"/>
          <w:szCs w:val="20"/>
        </w:rPr>
        <w:t xml:space="preserve"> Guarantor is </w:t>
      </w:r>
      <w:r>
        <w:rPr>
          <w:rFonts w:ascii="Arial" w:hAnsi="Arial" w:eastAsia="Times New Roman" w:cs="Arial"/>
          <w:sz w:val="20"/>
          <w:szCs w:val="20"/>
          <w:highlight w:val="yellow"/>
        </w:rPr>
        <w:t xml:space="preserve">#a </w:t>
      </w:r>
      <w:r>
        <w:rPr>
          <w:rFonts w:ascii="Arial" w:hAnsi="Arial" w:eastAsia="Times New Roman" w:cs="Arial"/>
          <w:b/>
          <w:i/>
          <w:color w:val="FF0000"/>
          <w:sz w:val="20"/>
          <w:szCs w:val="20"/>
          <w:highlight w:val="cyan"/>
          <w:u w:val="single"/>
        </w:rPr>
        <w:t>OR</w:t>
      </w:r>
      <w:r>
        <w:rPr>
          <w:rFonts w:ascii="Arial" w:hAnsi="Arial" w:eastAsia="Times New Roman" w:cs="Arial"/>
          <w:sz w:val="20"/>
          <w:szCs w:val="20"/>
          <w:highlight w:val="yellow"/>
        </w:rPr>
        <w:t xml:space="preserve"> #an</w:t>
      </w:r>
      <w:r>
        <w:rPr>
          <w:rFonts w:ascii="Arial" w:hAnsi="Arial" w:eastAsia="Times New Roman" w:cs="Arial"/>
          <w:sz w:val="20"/>
          <w:szCs w:val="20"/>
        </w:rPr>
        <w:t xml:space="preserve"> </w:t>
      </w:r>
      <w:r>
        <w:rPr>
          <w:rFonts w:ascii="Arial" w:hAnsi="Arial" w:eastAsia="Times New Roman" w:cs="Arial"/>
          <w:sz w:val="20"/>
          <w:szCs w:val="20"/>
          <w:highlight w:val="yellow"/>
        </w:rPr>
        <w:t>#GuarantorEntityType#</w:t>
      </w:r>
      <w:r>
        <w:rPr>
          <w:rFonts w:ascii="Arial" w:hAnsi="Arial" w:eastAsia="Times New Roman" w:cs="Arial"/>
          <w:sz w:val="20"/>
          <w:szCs w:val="20"/>
        </w:rPr>
        <w:t xml:space="preserve"> organized, validly existing, and in good standing under the laws of the state of </w:t>
      </w:r>
      <w:r>
        <w:rPr>
          <w:rFonts w:ascii="Arial" w:hAnsi="Arial" w:eastAsia="Times New Roman" w:cs="Arial"/>
          <w:sz w:val="20"/>
          <w:szCs w:val="20"/>
          <w:highlight w:val="yellow"/>
        </w:rPr>
        <w:t>#GuarantorEntityRegistrationState</w:t>
      </w:r>
      <w:r>
        <w:rPr>
          <w:rFonts w:ascii="Arial" w:hAnsi="Arial" w:eastAsia="Times New Roman" w:cs="Arial"/>
          <w:sz w:val="20"/>
          <w:szCs w:val="20"/>
        </w:rPr>
        <w:t>.</w:t>
      </w:r>
      <w:bookmarkEnd w:id="665"/>
    </w:p>
    <w:p w:rsidRPr="005921C0" w:rsidR="00B36EC7" w:rsidP="00B71D5E" w:rsidRDefault="00B36EC7" w14:paraId="12B1CA3C"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6" w:id="666"/>
      <w:bookmarkStart w:name="_Toc143607324" w:id="667"/>
      <w:bookmarkEnd w:id="666"/>
      <w:r>
        <w:rPr>
          <w:rFonts w:ascii="Arial" w:hAnsi="Arial" w:eastAsia="Times New Roman" w:cs="Arial"/>
          <w:b/>
          <w:sz w:val="20"/>
          <w:szCs w:val="20"/>
        </w:rPr>
        <w:t>3.2</w:t>
      </w:r>
      <w:r>
        <w:rPr>
          <w:rFonts w:ascii="Arial" w:hAnsi="Arial" w:eastAsia="Times New Roman" w:cs="Arial"/>
          <w:i/>
          <w:sz w:val="20"/>
          <w:szCs w:val="20"/>
        </w:rPr>
        <w:tab/>
      </w:r>
      <w:r>
        <w:rPr>
          <w:rFonts w:ascii="Arial" w:hAnsi="Arial" w:eastAsia="Times New Roman" w:cs="Arial"/>
          <w:b/>
          <w:sz w:val="20"/>
          <w:szCs w:val="20"/>
        </w:rPr>
        <w:t>Authorization; No Conflict.</w:t>
      </w:r>
      <w:r>
        <w:rPr>
          <w:rFonts w:ascii="Arial" w:hAnsi="Arial" w:eastAsia="Times New Roman" w:cs="Arial"/>
          <w:sz w:val="20"/>
          <w:szCs w:val="20"/>
        </w:rPr>
        <w:t xml:space="preserve"> The execution and delivery by Guarantor of this Guaranty, and the performance by Guarantor of its obligations under this Guaranty: (i) are within Guarantor’s </w:t>
      </w:r>
      <w:r>
        <w:rPr>
          <w:rFonts w:ascii="Arial" w:hAnsi="Arial" w:eastAsia="Times New Roman" w:cs="Arial"/>
          <w:sz w:val="20"/>
          <w:szCs w:val="20"/>
          <w:highlight w:val="yellow"/>
        </w:rPr>
        <w:t>#GuarantorEntityType#</w:t>
      </w:r>
      <w:r>
        <w:rPr>
          <w:rFonts w:ascii="Arial" w:hAnsi="Arial" w:eastAsia="Times New Roman" w:cs="Arial"/>
          <w:sz w:val="20"/>
          <w:szCs w:val="20"/>
        </w:rPr>
        <w:t xml:space="preserve"> powers; (ii) have been duly authorized by all necessary </w:t>
      </w:r>
      <w:r>
        <w:rPr>
          <w:rFonts w:ascii="Arial" w:hAnsi="Arial" w:eastAsia="Times New Roman" w:cs="Arial"/>
          <w:sz w:val="20"/>
          <w:szCs w:val="20"/>
          <w:highlight w:val="yellow"/>
        </w:rPr>
        <w:t>#GuarantorEntityType#</w:t>
      </w:r>
      <w:r>
        <w:rPr>
          <w:rFonts w:ascii="Arial" w:hAnsi="Arial" w:eastAsia="Times New Roman" w:cs="Arial"/>
          <w:sz w:val="20"/>
          <w:szCs w:val="20"/>
        </w:rPr>
        <w:t xml:space="preserve"> action; (iii) do not contravene its </w:t>
      </w:r>
      <w:r>
        <w:rPr>
          <w:rFonts w:ascii="Arial" w:hAnsi="Arial" w:eastAsia="Times New Roman" w:cs="Arial"/>
          <w:sz w:val="20"/>
          <w:szCs w:val="20"/>
          <w:highlight w:val="yellow"/>
        </w:rPr>
        <w:t xml:space="preserve">#bylaws </w:t>
      </w:r>
      <w:r>
        <w:rPr>
          <w:rFonts w:ascii="Arial" w:hAnsi="Arial" w:eastAsia="Times New Roman" w:cs="Arial"/>
          <w:b/>
          <w:i/>
          <w:color w:val="FF0000"/>
          <w:sz w:val="20"/>
          <w:szCs w:val="20"/>
          <w:highlight w:val="cyan"/>
          <w:u w:val="single"/>
        </w:rPr>
        <w:t>OR</w:t>
      </w:r>
      <w:r>
        <w:rPr>
          <w:rFonts w:ascii="Arial" w:hAnsi="Arial" w:eastAsia="Times New Roman" w:cs="Arial"/>
          <w:sz w:val="20"/>
          <w:szCs w:val="20"/>
          <w:highlight w:val="yellow"/>
        </w:rPr>
        <w:t xml:space="preserve"> #operating agreement </w:t>
      </w:r>
      <w:r>
        <w:rPr>
          <w:rFonts w:ascii="Arial" w:hAnsi="Arial" w:eastAsia="Times New Roman" w:cs="Arial"/>
          <w:b/>
          <w:i/>
          <w:color w:val="FF0000"/>
          <w:sz w:val="20"/>
          <w:szCs w:val="20"/>
          <w:highlight w:val="cyan"/>
          <w:u w:val="single"/>
        </w:rPr>
        <w:t>OR</w:t>
      </w:r>
      <w:r>
        <w:rPr>
          <w:rFonts w:ascii="Arial" w:hAnsi="Arial" w:eastAsia="Times New Roman" w:cs="Arial"/>
          <w:sz w:val="20"/>
          <w:szCs w:val="20"/>
          <w:highlight w:val="yellow"/>
        </w:rPr>
        <w:t xml:space="preserve"> #OtherOrganizationalDocument</w:t>
      </w:r>
      <w:r>
        <w:rPr>
          <w:rFonts w:ascii="Arial" w:hAnsi="Arial" w:eastAsia="Times New Roman" w:cs="Arial"/>
          <w:sz w:val="20"/>
          <w:szCs w:val="20"/>
        </w:rPr>
        <w:t xml:space="preserve"> or any law or regulation applicable to or binding on Guarantor or any of its properties; and (iv) do not require the consent or approval of any Person that has not already been obtained or the satisfaction or waiver of any conditions precedent to the effectiveness of this Guaranty that have not been satisfied or waived.</w:t>
      </w:r>
      <w:bookmarkEnd w:id="667"/>
    </w:p>
    <w:p w:rsidRPr="00B71D5E" w:rsidR="00B36EC7" w:rsidP="00B71D5E" w:rsidRDefault="00B36EC7" w14:paraId="49A815E5"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7" w:id="668"/>
      <w:bookmarkStart w:name="_Toc143607325" w:id="669"/>
      <w:bookmarkEnd w:id="668"/>
      <w:r>
        <w:rPr>
          <w:rFonts w:ascii="Arial" w:hAnsi="Arial" w:eastAsia="Times New Roman" w:cs="Arial"/>
          <w:b/>
          <w:sz w:val="20"/>
          <w:szCs w:val="20"/>
        </w:rPr>
        <w:t>3.3</w:t>
      </w:r>
      <w:r>
        <w:rPr>
          <w:rFonts w:ascii="Arial" w:hAnsi="Arial" w:eastAsia="Times New Roman" w:cs="Arial"/>
          <w:i/>
          <w:sz w:val="20"/>
          <w:szCs w:val="20"/>
        </w:rPr>
        <w:tab/>
      </w:r>
      <w:r>
        <w:rPr>
          <w:rFonts w:ascii="Arial" w:hAnsi="Arial" w:eastAsia="Times New Roman" w:cs="Arial"/>
          <w:b/>
          <w:sz w:val="20"/>
          <w:szCs w:val="20"/>
        </w:rPr>
        <w:t>Enforceability.</w:t>
      </w:r>
      <w:r>
        <w:rPr>
          <w:rFonts w:ascii="Arial" w:hAnsi="Arial" w:eastAsia="Times New Roman" w:cs="Arial"/>
          <w:sz w:val="20"/>
          <w:szCs w:val="20"/>
        </w:rPr>
        <w:t xml:space="preserve"> This Guaranty constitutes the legal, valid, and binding obligation of Guarantor, enforceable against Guarantor in accordance with its terms, except to the extent that that enforceability may be limited by applicable bankruptcy, insolvency, dissolution, reorganization, moratorium, liquidation, or other similar laws affecting creditors’ rights generally and by general principles of equity (regardless of whether enforcement is sought in a proceeding in equity or at law).</w:t>
      </w:r>
      <w:bookmarkEnd w:id="669"/>
    </w:p>
    <w:p w:rsidRPr="00B71D5E" w:rsidR="00B36EC7" w:rsidP="00B71D5E" w:rsidRDefault="00B36EC7" w14:paraId="505CD193"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8" w:id="670"/>
      <w:bookmarkStart w:name="_Toc143607326" w:id="671"/>
      <w:bookmarkEnd w:id="670"/>
      <w:r>
        <w:rPr>
          <w:rFonts w:ascii="Arial" w:hAnsi="Arial" w:eastAsia="Times New Roman" w:cs="Arial"/>
          <w:b/>
          <w:sz w:val="20"/>
          <w:szCs w:val="20"/>
        </w:rPr>
        <w:t>3.4</w:t>
      </w:r>
      <w:r>
        <w:rPr>
          <w:rFonts w:ascii="Arial" w:hAnsi="Arial" w:eastAsia="Times New Roman" w:cs="Arial"/>
          <w:i/>
          <w:sz w:val="20"/>
          <w:szCs w:val="20"/>
        </w:rPr>
        <w:tab/>
      </w:r>
      <w:r>
        <w:rPr>
          <w:rFonts w:ascii="Arial" w:hAnsi="Arial" w:eastAsia="Times New Roman" w:cs="Arial"/>
          <w:b/>
          <w:sz w:val="20"/>
          <w:szCs w:val="20"/>
        </w:rPr>
        <w:t>No Bankruptcy Proceedings.</w:t>
      </w:r>
      <w:r>
        <w:rPr>
          <w:rFonts w:ascii="Arial" w:hAnsi="Arial" w:eastAsia="Times New Roman" w:cs="Arial"/>
          <w:sz w:val="20"/>
          <w:szCs w:val="20"/>
        </w:rPr>
        <w:t xml:space="preserve"> There are no bankruptcy proceedings pending or being contemplated by Guarantor or, to Guarantor’s knowledge, threatened </w:t>
      </w:r>
      <w:proofErr w:type="gramStart"/>
      <w:r>
        <w:rPr>
          <w:rFonts w:ascii="Arial" w:hAnsi="Arial" w:eastAsia="Times New Roman" w:cs="Arial"/>
          <w:sz w:val="20"/>
          <w:szCs w:val="20"/>
        </w:rPr>
        <w:t>against</w:t>
      </w:r>
      <w:proofErr w:type="gramEnd"/>
      <w:r>
        <w:rPr>
          <w:rFonts w:ascii="Arial" w:hAnsi="Arial" w:eastAsia="Times New Roman" w:cs="Arial"/>
          <w:sz w:val="20"/>
          <w:szCs w:val="20"/>
        </w:rPr>
        <w:t xml:space="preserve"> it.</w:t>
      </w:r>
      <w:bookmarkEnd w:id="671"/>
    </w:p>
    <w:p w:rsidRPr="00B71D5E" w:rsidR="00B36EC7" w:rsidP="00B71D5E" w:rsidRDefault="00B36EC7" w14:paraId="13E0D703"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69" w:id="672"/>
      <w:bookmarkStart w:name="_Toc143607327" w:id="673"/>
      <w:bookmarkEnd w:id="672"/>
      <w:r>
        <w:rPr>
          <w:rFonts w:ascii="Arial" w:hAnsi="Arial" w:eastAsia="Times New Roman" w:cs="Arial"/>
          <w:b/>
          <w:sz w:val="20"/>
          <w:szCs w:val="20"/>
        </w:rPr>
        <w:t>3.5</w:t>
      </w:r>
      <w:r>
        <w:rPr>
          <w:rFonts w:ascii="Arial" w:hAnsi="Arial" w:eastAsia="Times New Roman" w:cs="Arial"/>
          <w:i/>
          <w:sz w:val="20"/>
          <w:szCs w:val="20"/>
        </w:rPr>
        <w:tab/>
      </w:r>
      <w:r>
        <w:rPr>
          <w:rFonts w:ascii="Arial" w:hAnsi="Arial" w:eastAsia="Times New Roman" w:cs="Arial"/>
          <w:b/>
          <w:sz w:val="20"/>
          <w:szCs w:val="20"/>
        </w:rPr>
        <w:t>No Legal Proceedings.</w:t>
      </w:r>
      <w:r>
        <w:rPr>
          <w:rFonts w:ascii="Arial" w:hAnsi="Arial" w:eastAsia="Times New Roman" w:cs="Arial"/>
          <w:sz w:val="20"/>
          <w:szCs w:val="20"/>
        </w:rPr>
        <w:t xml:space="preserve"> There are no legal proceedings that would be reasonably likely to materially adversely affect Guarantor’s ability to perform this Guaranty.</w:t>
      </w:r>
      <w:bookmarkEnd w:id="673"/>
    </w:p>
    <w:p w:rsidRPr="00B71D5E" w:rsidR="00B36EC7" w:rsidP="00B71D5E" w:rsidRDefault="00B36EC7" w14:paraId="33A54311" w14:textId="77777777">
      <w:pPr>
        <w:keepNext/>
        <w:autoSpaceDE w:val="0"/>
        <w:autoSpaceDN w:val="0"/>
        <w:adjustRightInd w:val="0"/>
        <w:spacing w:before="120" w:after="120" w:line="240" w:lineRule="auto"/>
        <w:outlineLvl w:val="0"/>
        <w:rPr>
          <w:rFonts w:ascii="Arial" w:hAnsi="Arial" w:eastAsia="Times New Roman" w:cs="Arial"/>
          <w:b/>
          <w:caps/>
          <w:sz w:val="20"/>
          <w:szCs w:val="20"/>
        </w:rPr>
      </w:pPr>
      <w:bookmarkStart w:name="_DV_M870" w:id="674"/>
      <w:bookmarkStart w:name="_Toc143607328" w:id="675"/>
      <w:bookmarkEnd w:id="674"/>
      <w:r>
        <w:rPr>
          <w:rFonts w:ascii="Arial" w:hAnsi="Arial" w:eastAsia="Times New Roman" w:cs="Arial"/>
          <w:b/>
          <w:caps/>
          <w:sz w:val="20"/>
          <w:szCs w:val="20"/>
        </w:rPr>
        <w:t>PART 4 - Miscellaneous</w:t>
      </w:r>
      <w:bookmarkEnd w:id="675"/>
    </w:p>
    <w:p w:rsidRPr="00B71D5E" w:rsidR="00B36EC7" w:rsidP="00B71D5E" w:rsidRDefault="00B36EC7" w14:paraId="660AA6C2"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71" w:id="676"/>
      <w:bookmarkStart w:name="_Toc143607329" w:id="677"/>
      <w:bookmarkEnd w:id="676"/>
      <w:r>
        <w:rPr>
          <w:rFonts w:ascii="Arial" w:hAnsi="Arial" w:eastAsia="Times New Roman" w:cs="Arial"/>
          <w:b/>
          <w:sz w:val="20"/>
          <w:szCs w:val="20"/>
        </w:rPr>
        <w:t>4.1</w:t>
      </w:r>
      <w:r>
        <w:rPr>
          <w:rFonts w:ascii="Arial" w:hAnsi="Arial" w:eastAsia="Times New Roman" w:cs="Arial"/>
          <w:i/>
          <w:sz w:val="20"/>
          <w:szCs w:val="20"/>
        </w:rPr>
        <w:tab/>
      </w:r>
      <w:r>
        <w:rPr>
          <w:rFonts w:ascii="Arial" w:hAnsi="Arial" w:eastAsia="Times New Roman" w:cs="Arial"/>
          <w:b/>
          <w:sz w:val="20"/>
          <w:szCs w:val="20"/>
        </w:rPr>
        <w:t>Continuing Guaranty; Assignment.</w:t>
      </w:r>
      <w:r>
        <w:rPr>
          <w:rFonts w:ascii="Arial" w:hAnsi="Arial" w:eastAsia="Times New Roman" w:cs="Arial"/>
          <w:sz w:val="20"/>
          <w:szCs w:val="20"/>
        </w:rPr>
        <w:t xml:space="preserve"> This Guaranty is a continuing guaranty and will: (i) remain in full force and effect until all of the Guaranty Obligations have been satisfied; (ii) consistent with the terms of this Guaranty, apply to all Guaranteed Obligations whenever arising; (iii) be binding upon Guarantor, its successors and assigns; and (iv) inure to the benefit of, and be enforceable by, Beneficiary and its permitted assignees under this Guaranty. Guarantor must not assign or delegate Guarantor’s rights or obligations under this Guaranty without: (i) the prior written consent of Beneficiary, which consent may be withheld in Beneficiary’s sole discretion; and (ii) a written assignment and assumption agreement in form and substance reasonably acceptable to Beneficiary. Without prejudice to the survival of any of the other agreements of Guarantor under this Guaranty, the agreements and obligations of Guarantor contained in Section 4.4 (</w:t>
      </w:r>
      <w:r>
        <w:rPr>
          <w:rFonts w:ascii="Arial" w:hAnsi="Arial" w:eastAsia="Times New Roman" w:cs="Arial"/>
          <w:i/>
          <w:sz w:val="20"/>
          <w:szCs w:val="20"/>
        </w:rPr>
        <w:t>Expenses</w:t>
      </w:r>
      <w:r>
        <w:rPr>
          <w:rFonts w:ascii="Arial" w:hAnsi="Arial" w:eastAsia="Times New Roman" w:cs="Arial"/>
          <w:sz w:val="20"/>
          <w:szCs w:val="20"/>
        </w:rPr>
        <w:t>) (regarding enforcement expenses) and the last sentence of Section 2.2.1 (</w:t>
      </w:r>
      <w:r>
        <w:rPr>
          <w:rFonts w:ascii="Arial" w:hAnsi="Arial" w:eastAsia="Times New Roman" w:cs="Arial"/>
          <w:i/>
          <w:sz w:val="20"/>
          <w:szCs w:val="20"/>
        </w:rPr>
        <w:t>Guarantor Guarantees</w:t>
      </w:r>
      <w:r>
        <w:rPr>
          <w:rFonts w:ascii="Arial" w:hAnsi="Arial" w:eastAsia="Times New Roman" w:cs="Arial"/>
          <w:sz w:val="20"/>
          <w:szCs w:val="20"/>
        </w:rPr>
        <w:t xml:space="preserve">) will survive the payment in full of the Guaranteed Obligations and </w:t>
      </w:r>
      <w:proofErr w:type="gramStart"/>
      <w:r>
        <w:rPr>
          <w:rFonts w:ascii="Arial" w:hAnsi="Arial" w:eastAsia="Times New Roman" w:cs="Arial"/>
          <w:sz w:val="20"/>
          <w:szCs w:val="20"/>
        </w:rPr>
        <w:t>all of</w:t>
      </w:r>
      <w:proofErr w:type="gramEnd"/>
      <w:r>
        <w:rPr>
          <w:rFonts w:ascii="Arial" w:hAnsi="Arial" w:eastAsia="Times New Roman" w:cs="Arial"/>
          <w:sz w:val="20"/>
          <w:szCs w:val="20"/>
        </w:rPr>
        <w:t xml:space="preserve"> the other amounts payable under this Guaranty.</w:t>
      </w:r>
      <w:bookmarkEnd w:id="677"/>
    </w:p>
    <w:p w:rsidRPr="00B71D5E" w:rsidR="00B36EC7" w:rsidP="00B71D5E" w:rsidRDefault="00B36EC7" w14:paraId="41AC5A89" w14:textId="77777777">
      <w:pPr>
        <w:tabs>
          <w:tab w:val="left" w:pos="540"/>
        </w:tabs>
        <w:spacing w:before="120" w:after="120" w:line="240" w:lineRule="auto"/>
        <w:jc w:val="both"/>
        <w:rPr>
          <w:rFonts w:ascii="Arial" w:hAnsi="Arial" w:eastAsia="Times New Roman" w:cs="Arial"/>
          <w:sz w:val="20"/>
          <w:szCs w:val="20"/>
        </w:rPr>
      </w:pPr>
      <w:bookmarkStart w:name="_DV_M872" w:id="678"/>
      <w:bookmarkEnd w:id="678"/>
      <w:r>
        <w:rPr>
          <w:rFonts w:ascii="Arial" w:hAnsi="Arial" w:eastAsia="Times New Roman" w:cs="Arial"/>
          <w:b/>
          <w:sz w:val="20"/>
          <w:szCs w:val="20"/>
        </w:rPr>
        <w:t>4.2</w:t>
      </w:r>
      <w:r>
        <w:rPr>
          <w:rFonts w:ascii="Arial" w:hAnsi="Arial" w:eastAsia="Calibri" w:cs="Arial"/>
          <w:sz w:val="20"/>
          <w:szCs w:val="20"/>
        </w:rPr>
        <w:tab/>
      </w:r>
      <w:r>
        <w:rPr>
          <w:rFonts w:ascii="Arial" w:hAnsi="Arial" w:eastAsia="Times New Roman" w:cs="Arial"/>
          <w:b/>
          <w:sz w:val="20"/>
          <w:szCs w:val="20"/>
        </w:rPr>
        <w:t>Notices.</w:t>
      </w:r>
      <w:r>
        <w:rPr>
          <w:rFonts w:ascii="Arial" w:hAnsi="Arial" w:eastAsia="Times New Roman" w:cs="Arial"/>
          <w:sz w:val="20"/>
          <w:szCs w:val="20"/>
        </w:rPr>
        <w:t xml:space="preserve"> All notices, requests, demands and other communications that are required or may be given under this Guaranty must be in writing and will be deemed to have been given when actually received if: (i) personally delivered; (ii) transmitted by facsimile, electronic, or digital transmission method; or (iii) if sent by certified or registered mail, return receipt requested. In each case, notice will be </w:t>
      </w:r>
      <w:bookmarkStart w:name="_DV_M873" w:id="679"/>
      <w:bookmarkEnd w:id="679"/>
      <w:r>
        <w:rPr>
          <w:rFonts w:ascii="Arial" w:hAnsi="Arial" w:eastAsia="Times New Roman" w:cs="Arial"/>
          <w:sz w:val="20"/>
          <w:szCs w:val="20"/>
        </w:rPr>
        <w:t xml:space="preserve">to </w:t>
      </w:r>
      <w:bookmarkStart w:name="_DV_M874" w:id="680"/>
      <w:bookmarkEnd w:id="680"/>
      <w:r>
        <w:rPr>
          <w:rFonts w:ascii="Arial" w:hAnsi="Arial" w:eastAsia="Times New Roman" w:cs="Arial"/>
          <w:sz w:val="20"/>
          <w:szCs w:val="20"/>
        </w:rPr>
        <w:t>the contacts identified in this Section 4.2 (</w:t>
      </w:r>
      <w:r>
        <w:rPr>
          <w:rFonts w:ascii="Arial" w:hAnsi="Arial" w:eastAsia="Times New Roman" w:cs="Arial"/>
          <w:i/>
          <w:sz w:val="20"/>
          <w:szCs w:val="20"/>
        </w:rPr>
        <w:t>Notices</w:t>
      </w:r>
      <w:r>
        <w:rPr>
          <w:rFonts w:ascii="Arial" w:hAnsi="Arial" w:eastAsia="Times New Roman" w:cs="Arial"/>
          <w:sz w:val="20"/>
          <w:szCs w:val="20"/>
        </w:rPr>
        <w:t xml:space="preserve">) </w:t>
      </w:r>
      <w:bookmarkStart w:name="_DV_M875" w:id="681"/>
      <w:bookmarkEnd w:id="681"/>
      <w:r>
        <w:rPr>
          <w:rFonts w:ascii="Arial" w:hAnsi="Arial" w:eastAsia="Times New Roman" w:cs="Arial"/>
          <w:sz w:val="20"/>
          <w:szCs w:val="20"/>
        </w:rPr>
        <w:t xml:space="preserve">or to the other place and with the other copies as Beneficiary or Guarantor may designate for itself by written notice to the other </w:t>
      </w:r>
      <w:r>
        <w:rPr>
          <w:rFonts w:ascii="Arial" w:hAnsi="Arial" w:eastAsia="Calibri" w:cs="Arial"/>
          <w:sz w:val="20"/>
          <w:szCs w:val="20"/>
        </w:rPr>
        <w:t>under</w:t>
      </w:r>
      <w:r>
        <w:rPr>
          <w:rFonts w:ascii="Arial" w:hAnsi="Arial" w:eastAsia="Times New Roman" w:cs="Arial"/>
          <w:sz w:val="20"/>
          <w:szCs w:val="20"/>
        </w:rPr>
        <w:t xml:space="preserve"> this Section 4.2 (</w:t>
      </w:r>
      <w:r>
        <w:rPr>
          <w:rFonts w:ascii="Arial" w:hAnsi="Arial" w:eastAsia="Times New Roman" w:cs="Arial"/>
          <w:i/>
          <w:sz w:val="20"/>
          <w:szCs w:val="20"/>
        </w:rPr>
        <w:t>Notices</w:t>
      </w:r>
      <w:r>
        <w:rPr>
          <w:rFonts w:ascii="Arial" w:hAnsi="Arial" w:eastAsia="Times New Roman" w:cs="Arial"/>
          <w:sz w:val="20"/>
          <w:szCs w:val="20"/>
        </w:rPr>
        <w:t>). Delivery by facsimile of an executed counterpart of a signature page to any amendment or waiver of any provision of this Guaranty will be effective as delivery of an original executed counterpart to the amendment or waiver.</w:t>
      </w:r>
    </w:p>
    <w:tbl>
      <w:tblPr>
        <w:tblW w:w="0" w:type="auto"/>
        <w:tblLook w:val="00A0" w:firstRow="1" w:lastRow="0" w:firstColumn="1" w:lastColumn="0" w:noHBand="0" w:noVBand="0"/>
      </w:tblPr>
      <w:tblGrid>
        <w:gridCol w:w="4993"/>
        <w:gridCol w:w="57"/>
        <w:gridCol w:w="4886"/>
      </w:tblGrid>
      <w:tr w:rsidRPr="00B71D5E" w:rsidR="00B36EC7" w14:paraId="130B5E60" w14:textId="77777777">
        <w:trPr>
          <w:trHeight w:val="360"/>
        </w:trPr>
        <w:tc>
          <w:tcPr>
            <w:tcW w:w="5019" w:type="dxa"/>
            <w:vAlign w:val="center"/>
          </w:tcPr>
          <w:p w:rsidRPr="00B71D5E" w:rsidR="00B36EC7" w:rsidP="00B71D5E" w:rsidRDefault="00B36EC7" w14:paraId="0C1A0F7E" w14:textId="77777777">
            <w:pPr>
              <w:keepNext/>
              <w:keepLines/>
              <w:spacing w:before="120" w:after="120" w:line="240" w:lineRule="auto"/>
              <w:rPr>
                <w:rFonts w:ascii="Arial" w:hAnsi="Arial" w:eastAsia="Calibri" w:cs="Arial"/>
                <w:b/>
                <w:color w:val="000000"/>
                <w:sz w:val="20"/>
                <w:szCs w:val="20"/>
              </w:rPr>
            </w:pPr>
            <w:r>
              <w:rPr>
                <w:rFonts w:ascii="Arial" w:hAnsi="Arial" w:eastAsia="Calibri" w:cs="Arial"/>
                <w:b/>
                <w:color w:val="000000"/>
                <w:sz w:val="20"/>
                <w:szCs w:val="20"/>
              </w:rPr>
              <w:lastRenderedPageBreak/>
              <w:t>Notice to GPC:</w:t>
            </w:r>
          </w:p>
        </w:tc>
        <w:tc>
          <w:tcPr>
            <w:tcW w:w="4989" w:type="dxa"/>
            <w:gridSpan w:val="2"/>
            <w:vAlign w:val="center"/>
          </w:tcPr>
          <w:p w:rsidRPr="00B71D5E" w:rsidR="00B36EC7" w:rsidP="00B71D5E" w:rsidRDefault="00B36EC7" w14:paraId="5ED10075" w14:textId="77777777">
            <w:pPr>
              <w:keepNext/>
              <w:keepLines/>
              <w:spacing w:before="120" w:after="120" w:line="240" w:lineRule="auto"/>
              <w:rPr>
                <w:rFonts w:ascii="Arial" w:hAnsi="Arial" w:eastAsia="Calibri" w:cs="Arial"/>
                <w:b/>
                <w:color w:val="000000"/>
                <w:sz w:val="20"/>
                <w:szCs w:val="20"/>
              </w:rPr>
            </w:pPr>
            <w:r>
              <w:rPr>
                <w:rFonts w:ascii="Arial" w:hAnsi="Arial" w:eastAsia="Calibri" w:cs="Arial"/>
                <w:b/>
                <w:color w:val="000000"/>
                <w:sz w:val="20"/>
                <w:szCs w:val="20"/>
              </w:rPr>
              <w:t>With Copy to:</w:t>
            </w:r>
          </w:p>
        </w:tc>
      </w:tr>
      <w:tr w:rsidRPr="00B71D5E" w:rsidR="00B36EC7" w14:paraId="4269D23F" w14:textId="77777777">
        <w:tc>
          <w:tcPr>
            <w:tcW w:w="5019" w:type="dxa"/>
            <w:vAlign w:val="center"/>
          </w:tcPr>
          <w:p w:rsidRPr="00B71D5E" w:rsidR="00B36EC7" w:rsidP="004C40D3" w:rsidRDefault="00B36EC7" w14:paraId="3630427F"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Georgia Power Company</w:t>
            </w:r>
          </w:p>
          <w:p w:rsidRPr="00B71D5E" w:rsidR="00B36EC7" w:rsidP="004C40D3" w:rsidRDefault="00B36EC7" w14:paraId="7473CFC2" w14:textId="77777777">
            <w:pPr>
              <w:keepNext/>
              <w:keepLines/>
              <w:spacing w:after="0" w:line="240" w:lineRule="auto"/>
              <w:rPr>
                <w:rFonts w:ascii="Arial" w:hAnsi="Arial" w:eastAsia="MS Gothic" w:cs="Arial"/>
                <w:sz w:val="20"/>
                <w:szCs w:val="20"/>
              </w:rPr>
            </w:pPr>
            <w:r>
              <w:rPr>
                <w:rFonts w:ascii="Arial" w:hAnsi="Arial" w:eastAsia="Calibri" w:cs="Arial"/>
                <w:sz w:val="20"/>
                <w:szCs w:val="20"/>
              </w:rPr>
              <w:t>C/O Southern Company Services, Inc.</w:t>
            </w:r>
          </w:p>
          <w:p w:rsidRPr="00B71D5E" w:rsidR="00B36EC7" w:rsidP="004C40D3" w:rsidRDefault="00B36EC7" w14:paraId="19F64C93" w14:textId="77777777">
            <w:pPr>
              <w:keepNext/>
              <w:keepLines/>
              <w:spacing w:after="0" w:line="240" w:lineRule="auto"/>
              <w:rPr>
                <w:rFonts w:ascii="Arial" w:hAnsi="Arial" w:eastAsia="MS Gothic" w:cs="Arial"/>
                <w:sz w:val="20"/>
                <w:szCs w:val="20"/>
              </w:rPr>
            </w:pPr>
            <w:r>
              <w:rPr>
                <w:rFonts w:ascii="Arial" w:hAnsi="Arial" w:eastAsia="MS Gothic" w:cs="Arial"/>
                <w:sz w:val="20"/>
                <w:szCs w:val="20"/>
              </w:rPr>
              <w:t>Attn: Assistant Treasurer</w:t>
            </w:r>
          </w:p>
          <w:p w:rsidRPr="00B71D5E" w:rsidR="00B36EC7" w:rsidP="004C40D3" w:rsidRDefault="00B36EC7" w14:paraId="18E46A10" w14:textId="77777777">
            <w:pPr>
              <w:keepNext/>
              <w:keepLines/>
              <w:spacing w:after="0" w:line="240" w:lineRule="auto"/>
              <w:rPr>
                <w:rFonts w:ascii="Arial" w:hAnsi="Arial" w:eastAsia="Calibri" w:cs="Arial"/>
                <w:sz w:val="20"/>
                <w:szCs w:val="20"/>
              </w:rPr>
            </w:pPr>
            <w:r>
              <w:rPr>
                <w:rFonts w:ascii="Arial" w:hAnsi="Arial" w:eastAsia="Calibri" w:cs="Arial"/>
                <w:sz w:val="20"/>
                <w:szCs w:val="20"/>
              </w:rPr>
              <w:t xml:space="preserve">30 Ivan Allen Junior Boulevard, NW </w:t>
            </w:r>
          </w:p>
          <w:p w:rsidRPr="00B71D5E" w:rsidR="00B36EC7" w:rsidP="004C40D3" w:rsidRDefault="00B36EC7" w14:paraId="0DC5A64E" w14:textId="77777777">
            <w:pPr>
              <w:keepNext/>
              <w:keepLines/>
              <w:spacing w:after="0" w:line="240" w:lineRule="auto"/>
              <w:rPr>
                <w:rFonts w:ascii="Arial" w:hAnsi="Arial" w:eastAsia="Calibri" w:cs="Arial"/>
                <w:sz w:val="20"/>
                <w:szCs w:val="20"/>
              </w:rPr>
            </w:pPr>
            <w:r>
              <w:rPr>
                <w:rFonts w:ascii="Arial" w:hAnsi="Arial" w:eastAsia="Calibri" w:cs="Arial"/>
                <w:sz w:val="20"/>
                <w:szCs w:val="20"/>
              </w:rPr>
              <w:t xml:space="preserve">Bin SC1407 </w:t>
            </w:r>
          </w:p>
          <w:p w:rsidRPr="00B71D5E" w:rsidR="00B36EC7" w:rsidP="004C40D3" w:rsidRDefault="00B36EC7" w14:paraId="7289C48A"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Atlanta, GA 30308</w:t>
            </w:r>
          </w:p>
          <w:p w:rsidRPr="00B71D5E" w:rsidR="00B36EC7" w:rsidP="004C40D3" w:rsidRDefault="00B36EC7" w14:paraId="2A45E9E8" w14:textId="77777777">
            <w:pPr>
              <w:keepNext/>
              <w:keepLines/>
              <w:spacing w:after="0" w:line="240" w:lineRule="auto"/>
              <w:rPr>
                <w:rFonts w:ascii="Arial" w:hAnsi="Arial" w:eastAsia="Calibri" w:cs="Arial"/>
                <w:color w:val="000000"/>
                <w:sz w:val="20"/>
                <w:szCs w:val="20"/>
              </w:rPr>
            </w:pPr>
            <w:hyperlink w:history="1" r:id="rId46">
              <w:r>
                <w:rPr>
                  <w:rFonts w:ascii="Arial" w:hAnsi="Arial" w:eastAsia="Calibri" w:cs="Arial"/>
                  <w:sz w:val="20"/>
                  <w:szCs w:val="20"/>
                </w:rPr>
                <w:t>G2GPCERG@southernco.com</w:t>
              </w:r>
            </w:hyperlink>
            <w:r>
              <w:rPr>
                <w:rFonts w:ascii="Arial" w:hAnsi="Arial" w:eastAsia="Calibri" w:cs="Arial"/>
                <w:sz w:val="20"/>
                <w:szCs w:val="20"/>
              </w:rPr>
              <w:t xml:space="preserve"> </w:t>
            </w:r>
          </w:p>
        </w:tc>
        <w:tc>
          <w:tcPr>
            <w:tcW w:w="4989" w:type="dxa"/>
            <w:gridSpan w:val="2"/>
          </w:tcPr>
          <w:p w:rsidRPr="00B71D5E" w:rsidR="00B36EC7" w:rsidP="004C40D3" w:rsidRDefault="00B36EC7" w14:paraId="572B21DA"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Georgia Power Company Legal Dept.</w:t>
            </w:r>
          </w:p>
          <w:p w:rsidRPr="00B71D5E" w:rsidR="00B36EC7" w:rsidP="004C40D3" w:rsidRDefault="00B36EC7" w14:paraId="2CBE875B"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Attn: Commercial &amp; Transactions</w:t>
            </w:r>
          </w:p>
          <w:p w:rsidRPr="00B71D5E" w:rsidR="00B36EC7" w:rsidP="004C40D3" w:rsidRDefault="00B36EC7" w14:paraId="245B7BC3"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Bin 10180</w:t>
            </w:r>
          </w:p>
          <w:p w:rsidRPr="00B71D5E" w:rsidR="00B36EC7" w:rsidP="004C40D3" w:rsidRDefault="00B36EC7" w14:paraId="64A7A92D"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241 Ralph McGill Blvd., N.E.</w:t>
            </w:r>
          </w:p>
          <w:p w:rsidRPr="00B71D5E" w:rsidR="00B36EC7" w:rsidP="004C40D3" w:rsidRDefault="00B36EC7" w14:paraId="0F120C2D" w14:textId="77777777">
            <w:pPr>
              <w:keepNext/>
              <w:keepLines/>
              <w:spacing w:after="0" w:line="240" w:lineRule="auto"/>
              <w:rPr>
                <w:rFonts w:ascii="Arial" w:hAnsi="Arial" w:eastAsia="Calibri" w:cs="Arial"/>
                <w:color w:val="000000"/>
                <w:sz w:val="20"/>
                <w:szCs w:val="20"/>
              </w:rPr>
            </w:pPr>
            <w:r>
              <w:rPr>
                <w:rFonts w:ascii="Arial" w:hAnsi="Arial" w:eastAsia="Calibri" w:cs="Arial"/>
                <w:color w:val="000000"/>
                <w:sz w:val="20"/>
                <w:szCs w:val="20"/>
              </w:rPr>
              <w:t>Atlanta, GA 30308</w:t>
            </w:r>
          </w:p>
        </w:tc>
      </w:tr>
      <w:tr w:rsidRPr="00B71D5E" w:rsidR="00B36EC7" w14:paraId="31835618" w14:textId="77777777">
        <w:trPr>
          <w:gridAfter w:val="1"/>
          <w:wAfter w:w="4932" w:type="dxa"/>
          <w:trHeight w:val="360"/>
        </w:trPr>
        <w:tc>
          <w:tcPr>
            <w:tcW w:w="5076" w:type="dxa"/>
            <w:gridSpan w:val="2"/>
            <w:vAlign w:val="center"/>
          </w:tcPr>
          <w:p w:rsidRPr="00B71D5E" w:rsidR="00B36EC7" w:rsidP="00B71D5E" w:rsidRDefault="00B36EC7" w14:paraId="70B381B1" w14:textId="77777777">
            <w:pPr>
              <w:keepNext/>
              <w:keepLines/>
              <w:spacing w:before="120" w:after="120" w:line="240" w:lineRule="auto"/>
              <w:rPr>
                <w:rFonts w:ascii="Arial" w:hAnsi="Arial" w:eastAsia="Calibri" w:cs="Arial"/>
                <w:b/>
                <w:color w:val="000000"/>
                <w:sz w:val="20"/>
                <w:szCs w:val="20"/>
              </w:rPr>
            </w:pPr>
            <w:r>
              <w:rPr>
                <w:rFonts w:ascii="Arial" w:hAnsi="Arial" w:eastAsia="Times New Roman" w:cs="Arial"/>
                <w:sz w:val="20"/>
                <w:szCs w:val="20"/>
              </w:rPr>
              <w:br/>
            </w:r>
            <w:r>
              <w:rPr>
                <w:rFonts w:ascii="Arial" w:hAnsi="Arial" w:eastAsia="Calibri" w:cs="Arial"/>
                <w:b/>
                <w:color w:val="000000"/>
                <w:sz w:val="20"/>
                <w:szCs w:val="20"/>
              </w:rPr>
              <w:t>Notice to Guarantor:</w:t>
            </w:r>
          </w:p>
        </w:tc>
      </w:tr>
      <w:tr w:rsidRPr="00B71D5E" w:rsidR="00B36EC7" w14:paraId="62F63CE7" w14:textId="77777777">
        <w:trPr>
          <w:gridAfter w:val="1"/>
          <w:wAfter w:w="4932" w:type="dxa"/>
        </w:trPr>
        <w:tc>
          <w:tcPr>
            <w:tcW w:w="5076" w:type="dxa"/>
            <w:gridSpan w:val="2"/>
            <w:vAlign w:val="center"/>
          </w:tcPr>
          <w:p w:rsidRPr="00B71D5E" w:rsidR="00B36EC7" w:rsidP="004C40D3" w:rsidRDefault="00B36EC7" w14:paraId="168A94B0" w14:textId="77777777">
            <w:pPr>
              <w:keepNext/>
              <w:keepLines/>
              <w:spacing w:after="0" w:line="240" w:lineRule="auto"/>
              <w:rPr>
                <w:rFonts w:ascii="Arial" w:hAnsi="Arial" w:eastAsia="Calibri" w:cs="Arial"/>
                <w:color w:val="000000"/>
                <w:sz w:val="20"/>
                <w:szCs w:val="20"/>
                <w:highlight w:val="yellow"/>
              </w:rPr>
            </w:pPr>
            <w:r>
              <w:rPr>
                <w:rFonts w:ascii="Arial" w:hAnsi="Arial" w:eastAsia="Calibri" w:cs="Arial"/>
                <w:color w:val="000000"/>
                <w:sz w:val="20"/>
                <w:szCs w:val="20"/>
                <w:highlight w:val="yellow"/>
              </w:rPr>
              <w:t>#CompanyName</w:t>
            </w:r>
          </w:p>
          <w:p w:rsidRPr="00B71D5E" w:rsidR="00B36EC7" w:rsidP="004C40D3" w:rsidRDefault="00B36EC7" w14:paraId="5D76DFBB" w14:textId="77777777">
            <w:pPr>
              <w:keepNext/>
              <w:keepLines/>
              <w:spacing w:after="0" w:line="240" w:lineRule="auto"/>
              <w:rPr>
                <w:rFonts w:ascii="Arial" w:hAnsi="Arial" w:eastAsia="Calibri" w:cs="Arial"/>
                <w:color w:val="000000"/>
                <w:sz w:val="20"/>
                <w:szCs w:val="20"/>
                <w:highlight w:val="yellow"/>
              </w:rPr>
            </w:pPr>
            <w:proofErr w:type="gramStart"/>
            <w:r>
              <w:rPr>
                <w:rFonts w:ascii="Arial" w:hAnsi="Arial" w:eastAsia="Calibri" w:cs="Arial"/>
                <w:color w:val="000000"/>
                <w:sz w:val="20"/>
                <w:szCs w:val="20"/>
                <w:highlight w:val="yellow"/>
              </w:rPr>
              <w:t>Attn: #</w:t>
            </w:r>
            <w:proofErr w:type="gramEnd"/>
            <w:r>
              <w:rPr>
                <w:rFonts w:ascii="Arial" w:hAnsi="Arial" w:eastAsia="Calibri" w:cs="Arial"/>
                <w:color w:val="000000"/>
                <w:sz w:val="20"/>
                <w:szCs w:val="20"/>
                <w:highlight w:val="yellow"/>
              </w:rPr>
              <w:t>IndividualName</w:t>
            </w:r>
          </w:p>
          <w:p w:rsidRPr="00B71D5E" w:rsidR="00B36EC7" w:rsidP="004C40D3" w:rsidRDefault="00B36EC7" w14:paraId="3471E0D3" w14:textId="77777777">
            <w:pPr>
              <w:keepNext/>
              <w:keepLines/>
              <w:spacing w:after="0" w:line="240" w:lineRule="auto"/>
              <w:rPr>
                <w:rFonts w:ascii="Arial" w:hAnsi="Arial" w:eastAsia="Calibri" w:cs="Arial"/>
                <w:color w:val="000000"/>
                <w:sz w:val="20"/>
                <w:szCs w:val="20"/>
                <w:highlight w:val="yellow"/>
              </w:rPr>
            </w:pPr>
            <w:r>
              <w:rPr>
                <w:rFonts w:ascii="Arial" w:hAnsi="Arial" w:eastAsia="Calibri" w:cs="Arial"/>
                <w:color w:val="000000"/>
                <w:sz w:val="20"/>
                <w:szCs w:val="20"/>
                <w:highlight w:val="yellow"/>
              </w:rPr>
              <w:t>#Title</w:t>
            </w:r>
          </w:p>
          <w:p w:rsidRPr="00B71D5E" w:rsidR="00B36EC7" w:rsidP="004C40D3" w:rsidRDefault="00B36EC7" w14:paraId="0FCADAF8" w14:textId="77777777">
            <w:pPr>
              <w:keepNext/>
              <w:keepLines/>
              <w:spacing w:after="0" w:line="240" w:lineRule="auto"/>
              <w:rPr>
                <w:rFonts w:ascii="Arial" w:hAnsi="Arial" w:eastAsia="Calibri" w:cs="Arial"/>
                <w:color w:val="000000"/>
                <w:sz w:val="20"/>
                <w:szCs w:val="20"/>
                <w:highlight w:val="yellow"/>
              </w:rPr>
            </w:pPr>
            <w:r>
              <w:rPr>
                <w:rFonts w:ascii="Arial" w:hAnsi="Arial" w:eastAsia="Calibri" w:cs="Arial"/>
                <w:color w:val="000000"/>
                <w:sz w:val="20"/>
                <w:szCs w:val="20"/>
                <w:highlight w:val="yellow"/>
              </w:rPr>
              <w:t>#StreetAddress</w:t>
            </w:r>
          </w:p>
          <w:p w:rsidRPr="00B71D5E" w:rsidR="00B36EC7" w:rsidP="004C40D3" w:rsidRDefault="00B36EC7" w14:paraId="743F072D" w14:textId="77777777">
            <w:pPr>
              <w:keepNext/>
              <w:keepLines/>
              <w:spacing w:after="0" w:line="240" w:lineRule="auto"/>
              <w:rPr>
                <w:rFonts w:ascii="Arial" w:hAnsi="Arial" w:eastAsia="Calibri" w:cs="Arial"/>
                <w:color w:val="000000"/>
                <w:sz w:val="20"/>
                <w:szCs w:val="20"/>
              </w:rPr>
            </w:pPr>
            <w:proofErr w:type="gramStart"/>
            <w:r>
              <w:rPr>
                <w:rFonts w:ascii="Arial" w:hAnsi="Arial" w:eastAsia="Calibri" w:cs="Arial"/>
                <w:color w:val="000000"/>
                <w:sz w:val="20"/>
                <w:szCs w:val="20"/>
                <w:highlight w:val="yellow"/>
              </w:rPr>
              <w:t>#City, #</w:t>
            </w:r>
            <w:proofErr w:type="gramEnd"/>
            <w:r>
              <w:rPr>
                <w:rFonts w:ascii="Arial" w:hAnsi="Arial" w:eastAsia="Calibri" w:cs="Arial"/>
                <w:color w:val="000000"/>
                <w:sz w:val="20"/>
                <w:szCs w:val="20"/>
                <w:highlight w:val="yellow"/>
              </w:rPr>
              <w:t>State #ZipCode</w:t>
            </w:r>
          </w:p>
          <w:p w:rsidRPr="00B71D5E" w:rsidR="00B36EC7" w:rsidP="004C40D3" w:rsidRDefault="00B36EC7" w14:paraId="31033432" w14:textId="77777777">
            <w:pPr>
              <w:keepNext/>
              <w:keepLines/>
              <w:spacing w:after="0" w:line="240" w:lineRule="auto"/>
              <w:rPr>
                <w:rFonts w:ascii="Arial" w:hAnsi="Arial" w:eastAsia="Calibri" w:cs="Arial"/>
                <w:color w:val="0563C1"/>
                <w:sz w:val="20"/>
                <w:szCs w:val="20"/>
              </w:rPr>
            </w:pPr>
            <w:r>
              <w:rPr>
                <w:rFonts w:ascii="Arial" w:hAnsi="Arial" w:eastAsia="Calibri" w:cs="Arial"/>
                <w:sz w:val="20"/>
                <w:szCs w:val="20"/>
                <w:highlight w:val="yellow"/>
              </w:rPr>
              <w:t>#Email#</w:t>
            </w:r>
          </w:p>
        </w:tc>
      </w:tr>
    </w:tbl>
    <w:p w:rsidRPr="00B71D5E" w:rsidR="00B36EC7" w:rsidP="00B71D5E" w:rsidRDefault="00B36EC7" w14:paraId="1B8B427C" w14:textId="77777777">
      <w:pPr>
        <w:tabs>
          <w:tab w:val="left" w:pos="540"/>
        </w:tabs>
        <w:spacing w:before="120" w:after="120" w:line="240" w:lineRule="auto"/>
        <w:rPr>
          <w:rFonts w:ascii="Arial" w:hAnsi="Arial" w:eastAsia="Times New Roman" w:cs="Arial"/>
          <w:sz w:val="20"/>
          <w:szCs w:val="20"/>
        </w:rPr>
      </w:pPr>
      <w:bookmarkStart w:name="_DV_M876" w:id="682"/>
      <w:bookmarkEnd w:id="682"/>
      <w:r>
        <w:rPr>
          <w:rFonts w:ascii="Arial" w:hAnsi="Arial" w:eastAsia="Times New Roman" w:cs="Arial"/>
          <w:b/>
          <w:sz w:val="20"/>
          <w:szCs w:val="20"/>
        </w:rPr>
        <w:t>4.3</w:t>
      </w:r>
      <w:r>
        <w:rPr>
          <w:rFonts w:ascii="Arial" w:hAnsi="Arial" w:eastAsia="Times New Roman" w:cs="Arial"/>
          <w:i/>
          <w:sz w:val="20"/>
          <w:szCs w:val="20"/>
        </w:rPr>
        <w:tab/>
      </w:r>
      <w:r>
        <w:rPr>
          <w:rFonts w:ascii="Arial" w:hAnsi="Arial" w:eastAsia="Times New Roman" w:cs="Arial"/>
          <w:b/>
          <w:sz w:val="20"/>
          <w:szCs w:val="20"/>
        </w:rPr>
        <w:t>Delay and Waiver.</w:t>
      </w:r>
      <w:r>
        <w:rPr>
          <w:rFonts w:ascii="Arial" w:hAnsi="Arial" w:eastAsia="Times New Roman" w:cs="Arial"/>
          <w:sz w:val="20"/>
          <w:szCs w:val="20"/>
        </w:rPr>
        <w:t xml:space="preserve"> No failure on the part of Beneficiary to exercise, and no delay in exercising, any right under this Guaranty will operate as a waiver any right under this Guaranty; nor will any single or partial exercise of any right under this Guaranty preclude any other or further exercise of the right under this Guaranty or the exercise of any other right. The remedies provided in this Guaranty are cumulative and not exclusive of any remedies provided by law.</w:t>
      </w:r>
    </w:p>
    <w:p w:rsidRPr="00B71D5E" w:rsidR="00B36EC7" w:rsidP="00B71D5E" w:rsidRDefault="00B36EC7" w14:paraId="48825D59" w14:textId="77777777">
      <w:pPr>
        <w:tabs>
          <w:tab w:val="left" w:pos="540"/>
        </w:tabs>
        <w:autoSpaceDE w:val="0"/>
        <w:autoSpaceDN w:val="0"/>
        <w:adjustRightInd w:val="0"/>
        <w:spacing w:before="120" w:after="120" w:line="240" w:lineRule="auto"/>
        <w:outlineLvl w:val="1"/>
        <w:rPr>
          <w:rFonts w:ascii="Arial" w:hAnsi="Arial" w:eastAsia="Times New Roman" w:cs="Arial"/>
          <w:sz w:val="20"/>
          <w:szCs w:val="20"/>
        </w:rPr>
      </w:pPr>
      <w:bookmarkStart w:name="_DV_M877" w:id="683"/>
      <w:bookmarkStart w:name="_Toc143607330" w:id="684"/>
      <w:bookmarkEnd w:id="683"/>
      <w:r>
        <w:rPr>
          <w:rFonts w:ascii="Arial" w:hAnsi="Arial" w:eastAsia="Times New Roman" w:cs="Arial"/>
          <w:b/>
          <w:sz w:val="20"/>
          <w:szCs w:val="20"/>
        </w:rPr>
        <w:t>4.4</w:t>
      </w:r>
      <w:r>
        <w:rPr>
          <w:rFonts w:ascii="Arial" w:hAnsi="Arial" w:eastAsia="Times New Roman" w:cs="Arial"/>
          <w:i/>
          <w:sz w:val="20"/>
          <w:szCs w:val="20"/>
        </w:rPr>
        <w:tab/>
      </w:r>
      <w:r>
        <w:rPr>
          <w:rFonts w:ascii="Arial" w:hAnsi="Arial" w:eastAsia="Times New Roman" w:cs="Arial"/>
          <w:b/>
          <w:sz w:val="20"/>
          <w:szCs w:val="20"/>
        </w:rPr>
        <w:t>Expenses.</w:t>
      </w:r>
      <w:r>
        <w:rPr>
          <w:rFonts w:ascii="Arial" w:hAnsi="Arial" w:eastAsia="Times New Roman" w:cs="Arial"/>
          <w:sz w:val="20"/>
          <w:szCs w:val="20"/>
        </w:rPr>
        <w:t xml:space="preserve"> Guarantor agrees to pay or reimburse Beneficiary and any permitted assignees of Beneficiary on demand for its reasonable costs, charges, and expenses (including reasonable fees and expenses of counsel) incurred in connection with the enforcement of this Guaranty or caused by any breach by Guarantor of any of its obligations under this Guaranty, including any actions taken in any bankruptcy or insolvency proceedings, if Guarantor is required to pay under this Guaranty.</w:t>
      </w:r>
      <w:bookmarkEnd w:id="684"/>
    </w:p>
    <w:p w:rsidRPr="00B71D5E" w:rsidR="00B36EC7" w:rsidP="00B71D5E" w:rsidRDefault="00B36EC7" w14:paraId="4C43F20D"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78" w:id="685"/>
      <w:bookmarkStart w:name="_Toc143607331" w:id="686"/>
      <w:bookmarkEnd w:id="685"/>
      <w:r>
        <w:rPr>
          <w:rFonts w:ascii="Arial" w:hAnsi="Arial" w:eastAsia="Times New Roman" w:cs="Arial"/>
          <w:b/>
          <w:sz w:val="20"/>
          <w:szCs w:val="20"/>
        </w:rPr>
        <w:t>4.5</w:t>
      </w:r>
      <w:r>
        <w:rPr>
          <w:rFonts w:ascii="Arial" w:hAnsi="Arial" w:eastAsia="Times New Roman" w:cs="Arial"/>
          <w:i/>
          <w:sz w:val="20"/>
          <w:szCs w:val="20"/>
        </w:rPr>
        <w:tab/>
      </w:r>
      <w:r>
        <w:rPr>
          <w:rFonts w:ascii="Arial" w:hAnsi="Arial" w:eastAsia="Times New Roman" w:cs="Arial"/>
          <w:b/>
          <w:sz w:val="20"/>
          <w:szCs w:val="20"/>
        </w:rPr>
        <w:t>Entire Agreement; Amendments; Other Guarantees.</w:t>
      </w:r>
      <w:r>
        <w:rPr>
          <w:rFonts w:ascii="Arial" w:hAnsi="Arial" w:eastAsia="Times New Roman" w:cs="Arial"/>
          <w:sz w:val="20"/>
          <w:szCs w:val="20"/>
        </w:rPr>
        <w:t xml:space="preserve"> This Guaranty and any agreement, document, or instrument attached to this Guaranty or referred to in this Guaranty integrate all the terms and conditions mentioned in or incidental to this Guaranty and supersede all oral negotiations and prior writings in respect to the subject matter of this Guaranty. In the event of any conflict between the terms and conditions of this Guaranty and any related agreement, document, or instrument, the terms and conditions of this Guaranty will prevail. This Guaranty may only be amended or modified by an instrument in writing signed by each of Guarantor and Beneficiary and any permitted assignees of Beneficiary. Without limiting the preceding in this Section 4.5 (</w:t>
      </w:r>
      <w:r>
        <w:rPr>
          <w:rFonts w:ascii="Arial" w:hAnsi="Arial" w:eastAsia="Times New Roman" w:cs="Arial"/>
          <w:i/>
          <w:sz w:val="20"/>
          <w:szCs w:val="20"/>
        </w:rPr>
        <w:t>Entire Agreement; Amendments; Other Guarantees</w:t>
      </w:r>
      <w:r>
        <w:rPr>
          <w:rFonts w:ascii="Arial" w:hAnsi="Arial" w:eastAsia="Times New Roman" w:cs="Arial"/>
          <w:sz w:val="20"/>
          <w:szCs w:val="20"/>
        </w:rPr>
        <w:t>): (i) this Guaranty will not release, modify, revoke, or terminate any other guaranty existing previously, now, or in the future executed by Guarantor; nor will any other guaranty previously, now, or in the future executed by Guarantor release, modify, revoke, or terminate this Guaranty; and (ii) all of Guarantor’s liabilities and obligations and Beneficiary’s rights and remedies under this Guaranty are in addition to and cumulative with those under any other guaranty executed by Guarantor in favor of Beneficiary or any affiliate of Beneficiary on or about the Effective Date or at any other time.</w:t>
      </w:r>
      <w:bookmarkEnd w:id="686"/>
    </w:p>
    <w:p w:rsidRPr="00B71D5E" w:rsidR="00B36EC7" w:rsidP="003D4184" w:rsidRDefault="00B36EC7" w14:paraId="65A9CAF1"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79" w:id="687"/>
      <w:bookmarkStart w:name="_Toc143607332" w:id="688"/>
      <w:bookmarkEnd w:id="687"/>
      <w:r>
        <w:rPr>
          <w:rFonts w:ascii="Arial" w:hAnsi="Arial" w:eastAsia="Times New Roman" w:cs="Arial"/>
          <w:b/>
          <w:sz w:val="20"/>
          <w:szCs w:val="20"/>
        </w:rPr>
        <w:t>4.6</w:t>
      </w:r>
      <w:r>
        <w:rPr>
          <w:rFonts w:ascii="Arial" w:hAnsi="Arial" w:eastAsia="Times New Roman" w:cs="Arial"/>
          <w:i/>
          <w:sz w:val="20"/>
          <w:szCs w:val="20"/>
        </w:rPr>
        <w:tab/>
      </w:r>
      <w:r>
        <w:rPr>
          <w:rFonts w:ascii="Arial" w:hAnsi="Arial" w:eastAsia="Times New Roman" w:cs="Arial"/>
          <w:b/>
          <w:sz w:val="20"/>
          <w:szCs w:val="20"/>
        </w:rPr>
        <w:t>Headings.</w:t>
      </w:r>
      <w:r>
        <w:rPr>
          <w:rFonts w:ascii="Arial" w:hAnsi="Arial" w:eastAsia="Times New Roman" w:cs="Arial"/>
          <w:sz w:val="20"/>
          <w:szCs w:val="20"/>
        </w:rPr>
        <w:t xml:space="preserve"> The headings of the various Sections of this Guaranty are for convenience of reference only and will not modify, define, or limit any of the terms or provisions in this Guaranty.</w:t>
      </w:r>
      <w:bookmarkEnd w:id="688"/>
    </w:p>
    <w:p w:rsidRPr="00B71D5E" w:rsidR="00B36EC7" w:rsidP="003D4184" w:rsidRDefault="00B36EC7" w14:paraId="3DDB60CF" w14:textId="77777777">
      <w:pPr>
        <w:tabs>
          <w:tab w:val="left" w:pos="540"/>
        </w:tabs>
        <w:autoSpaceDE w:val="0"/>
        <w:autoSpaceDN w:val="0"/>
        <w:adjustRightInd w:val="0"/>
        <w:spacing w:before="120" w:after="120" w:line="240" w:lineRule="auto"/>
        <w:jc w:val="both"/>
        <w:outlineLvl w:val="1"/>
        <w:rPr>
          <w:rFonts w:ascii="Arial" w:hAnsi="Arial" w:eastAsia="Times New Roman" w:cs="Arial"/>
          <w:sz w:val="20"/>
          <w:szCs w:val="20"/>
        </w:rPr>
      </w:pPr>
      <w:bookmarkStart w:name="_DV_M880" w:id="689"/>
      <w:bookmarkStart w:name="_Toc143607333" w:id="690"/>
      <w:bookmarkEnd w:id="689"/>
      <w:r>
        <w:rPr>
          <w:rFonts w:ascii="Arial" w:hAnsi="Arial" w:eastAsia="Times New Roman" w:cs="Arial"/>
          <w:b/>
          <w:sz w:val="20"/>
          <w:szCs w:val="20"/>
        </w:rPr>
        <w:t>4.7</w:t>
      </w:r>
      <w:r>
        <w:rPr>
          <w:rFonts w:ascii="Arial" w:hAnsi="Arial" w:eastAsia="Times New Roman" w:cs="Arial"/>
          <w:i/>
          <w:sz w:val="20"/>
          <w:szCs w:val="20"/>
        </w:rPr>
        <w:tab/>
      </w:r>
      <w:r>
        <w:rPr>
          <w:rFonts w:ascii="Arial" w:hAnsi="Arial" w:eastAsia="Times New Roman" w:cs="Arial"/>
          <w:b/>
          <w:sz w:val="20"/>
          <w:szCs w:val="20"/>
        </w:rPr>
        <w:t>Governing Law; Consent to Jurisdiction.</w:t>
      </w:r>
      <w:bookmarkEnd w:id="690"/>
      <w:r>
        <w:rPr>
          <w:rFonts w:ascii="Arial" w:hAnsi="Arial" w:eastAsia="Times New Roman" w:cs="Arial"/>
          <w:sz w:val="20"/>
          <w:szCs w:val="20"/>
        </w:rPr>
        <w:t xml:space="preserve"> </w:t>
      </w:r>
    </w:p>
    <w:p w:rsidRPr="00B71D5E" w:rsidR="00B36EC7" w:rsidP="003D4184" w:rsidRDefault="00B36EC7" w14:paraId="241DB633" w14:textId="77777777">
      <w:pPr>
        <w:tabs>
          <w:tab w:val="left" w:pos="2250"/>
        </w:tabs>
        <w:autoSpaceDE w:val="0"/>
        <w:autoSpaceDN w:val="0"/>
        <w:adjustRightInd w:val="0"/>
        <w:spacing w:before="120" w:after="120" w:line="240" w:lineRule="auto"/>
        <w:ind w:left="270"/>
        <w:jc w:val="both"/>
        <w:outlineLvl w:val="1"/>
        <w:rPr>
          <w:rFonts w:ascii="Arial" w:hAnsi="Arial" w:eastAsia="Times New Roman" w:cs="Arial"/>
          <w:sz w:val="20"/>
          <w:szCs w:val="20"/>
        </w:rPr>
      </w:pPr>
      <w:bookmarkStart w:name="_DV_M881" w:id="691"/>
      <w:bookmarkStart w:name="_Toc143607334" w:id="692"/>
      <w:bookmarkEnd w:id="691"/>
      <w:r>
        <w:rPr>
          <w:rFonts w:ascii="Arial" w:hAnsi="Arial" w:eastAsia="Times New Roman" w:cs="Arial"/>
          <w:b/>
          <w:sz w:val="20"/>
          <w:szCs w:val="20"/>
        </w:rPr>
        <w:t xml:space="preserve">4.7.1. Governing Law. </w:t>
      </w:r>
      <w:r>
        <w:rPr>
          <w:rFonts w:ascii="Arial" w:hAnsi="Arial" w:eastAsia="Times New Roman" w:cs="Arial"/>
          <w:sz w:val="20"/>
          <w:szCs w:val="20"/>
        </w:rPr>
        <w:t>This Guaranty will be construed and interpreted, and the rights of the parties determined, in accordance with the law s of the state of Georgia, without giving effect to principles of conflicts of law that would require the application of the laws of another jurisdiction.</w:t>
      </w:r>
      <w:bookmarkEnd w:id="692"/>
    </w:p>
    <w:p w:rsidRPr="003D4184" w:rsidR="003D4184" w:rsidP="003D4184" w:rsidRDefault="00B36EC7" w14:paraId="22E38391" w14:textId="74893DE7">
      <w:pPr>
        <w:tabs>
          <w:tab w:val="left" w:pos="2160"/>
        </w:tabs>
        <w:autoSpaceDE w:val="0"/>
        <w:autoSpaceDN w:val="0"/>
        <w:adjustRightInd w:val="0"/>
        <w:ind w:left="270"/>
        <w:jc w:val="both"/>
        <w:outlineLvl w:val="5"/>
        <w:rPr>
          <w:rFonts w:ascii="Arial" w:hAnsi="Arial" w:eastAsia="Times New Roman" w:cs="Arial"/>
          <w:sz w:val="20"/>
          <w:szCs w:val="20"/>
        </w:rPr>
      </w:pPr>
      <w:bookmarkStart w:name="_DV_M882" w:id="693"/>
      <w:bookmarkEnd w:id="693"/>
      <w:r>
        <w:rPr>
          <w:rFonts w:ascii="Arial" w:hAnsi="Arial" w:eastAsia="Times New Roman" w:cs="Arial"/>
          <w:b/>
          <w:sz w:val="20"/>
          <w:szCs w:val="20"/>
        </w:rPr>
        <w:t>4.7.2.</w:t>
      </w:r>
      <w:r>
        <w:rPr>
          <w:rFonts w:ascii="Arial" w:hAnsi="Arial" w:eastAsia="Times New Roman" w:cs="Arial"/>
          <w:sz w:val="20"/>
          <w:szCs w:val="20"/>
        </w:rPr>
        <w:t xml:space="preserve"> </w:t>
      </w:r>
      <w:r>
        <w:rPr>
          <w:rFonts w:ascii="Arial" w:hAnsi="Arial" w:eastAsia="Times New Roman" w:cs="Arial"/>
          <w:b/>
          <w:sz w:val="20"/>
          <w:szCs w:val="20"/>
        </w:rPr>
        <w:t xml:space="preserve">Consent to Jurisdiction. </w:t>
      </w:r>
      <w:r w:rsidRPr="006E0A9B">
        <w:rPr>
          <w:rFonts w:ascii="Arial" w:hAnsi="Arial" w:eastAsia="Times New Roman" w:cs="Arial"/>
          <w:b/>
          <w:bCs/>
          <w:sz w:val="20"/>
          <w:szCs w:val="20"/>
          <w:u w:val="single"/>
        </w:rPr>
        <w:t xml:space="preserve">Guarantor irrevocably and unconditionally: (i) </w:t>
      </w:r>
      <w:r w:rsidRPr="006E0A9B" w:rsidR="00AB7A5D">
        <w:rPr>
          <w:rFonts w:ascii="Arial" w:hAnsi="Arial" w:eastAsia="Times New Roman" w:cs="Arial"/>
          <w:b/>
          <w:bCs/>
          <w:sz w:val="20"/>
          <w:szCs w:val="20"/>
          <w:u w:val="single"/>
        </w:rPr>
        <w:t>agrees that any suit, action, or other legal proceeding arising out of this Guaranty must be brought in a federal or state court located in the state of Georgia</w:t>
      </w:r>
      <w:r w:rsidRPr="006E0A9B">
        <w:rPr>
          <w:rFonts w:ascii="Arial" w:hAnsi="Arial" w:eastAsia="Times New Roman" w:cs="Arial"/>
          <w:b/>
          <w:bCs/>
          <w:sz w:val="20"/>
          <w:szCs w:val="20"/>
          <w:u w:val="single"/>
        </w:rPr>
        <w:t xml:space="preserve">; (ii) </w:t>
      </w:r>
      <w:r w:rsidRPr="006E0A9B" w:rsidR="00AB7A5D">
        <w:rPr>
          <w:rFonts w:ascii="Arial" w:hAnsi="Arial" w:eastAsia="Times New Roman" w:cs="Arial"/>
          <w:b/>
          <w:bCs/>
          <w:sz w:val="20"/>
          <w:szCs w:val="20"/>
          <w:u w:val="single"/>
        </w:rPr>
        <w:t>submits to the exclusive jurisdiction of those courts for any such suit, action, or proceeding</w:t>
      </w:r>
      <w:r w:rsidRPr="006E0A9B">
        <w:rPr>
          <w:rFonts w:ascii="Arial" w:hAnsi="Arial" w:eastAsia="Times New Roman" w:cs="Arial"/>
          <w:b/>
          <w:bCs/>
          <w:sz w:val="20"/>
          <w:szCs w:val="20"/>
          <w:u w:val="single"/>
        </w:rPr>
        <w:t xml:space="preserve">; and (iii) </w:t>
      </w:r>
      <w:r w:rsidRPr="006E0A9B" w:rsidR="006E0A9B">
        <w:rPr>
          <w:rFonts w:ascii="Arial" w:hAnsi="Arial" w:eastAsia="Times New Roman" w:cs="Arial"/>
          <w:b/>
          <w:bCs/>
          <w:sz w:val="20"/>
          <w:szCs w:val="20"/>
          <w:u w:val="single"/>
        </w:rPr>
        <w:t>waives any objection to venue in those courts and any claim that such suit, action, or proceeding has been brought in an inconvenient forum</w:t>
      </w:r>
      <w:r w:rsidRPr="006E0A9B">
        <w:rPr>
          <w:rFonts w:ascii="Arial" w:hAnsi="Arial" w:eastAsia="Times New Roman" w:cs="Arial"/>
          <w:b/>
          <w:bCs/>
          <w:sz w:val="20"/>
          <w:szCs w:val="20"/>
          <w:u w:val="single"/>
        </w:rPr>
        <w:t>.</w:t>
      </w:r>
      <w:r>
        <w:rPr>
          <w:rFonts w:ascii="Arial" w:hAnsi="Arial" w:eastAsia="Times New Roman" w:cs="Arial"/>
          <w:sz w:val="20"/>
          <w:szCs w:val="20"/>
          <w:highlight w:val="yellow"/>
        </w:rPr>
        <w:t xml:space="preserve">[ </w:t>
      </w:r>
      <w:r>
        <w:rPr>
          <w:rFonts w:ascii="Arial" w:hAnsi="Arial" w:eastAsia="Times New Roman" w:cs="Arial"/>
          <w:b/>
          <w:bCs/>
          <w:sz w:val="20"/>
          <w:szCs w:val="20"/>
          <w:highlight w:val="yellow"/>
        </w:rPr>
        <w:t>Applicable Only to Foreign Guarantor:</w:t>
      </w:r>
      <w:r>
        <w:rPr>
          <w:rFonts w:ascii="Arial" w:hAnsi="Arial" w:eastAsia="Times New Roman" w:cs="Arial"/>
          <w:sz w:val="20"/>
          <w:szCs w:val="20"/>
          <w:highlight w:val="yellow"/>
        </w:rPr>
        <w:t xml:space="preserve"> Guarantor and Beneficiary further agree that a final judgment in any action or proceeding arising out of or relating to this Guaranty will be conclusive and may be enforced in any other jurisdiction within or outside the </w:t>
      </w:r>
      <w:proofErr w:type="spellStart"/>
      <w:r>
        <w:rPr>
          <w:rFonts w:ascii="Arial" w:hAnsi="Arial" w:eastAsia="Times New Roman" w:cs="Arial"/>
          <w:sz w:val="20"/>
          <w:szCs w:val="20"/>
          <w:highlight w:val="yellow"/>
        </w:rPr>
        <w:t>Untied</w:t>
      </w:r>
      <w:proofErr w:type="spellEnd"/>
      <w:r>
        <w:rPr>
          <w:rFonts w:ascii="Arial" w:hAnsi="Arial" w:eastAsia="Times New Roman" w:cs="Arial"/>
          <w:sz w:val="20"/>
          <w:szCs w:val="20"/>
          <w:highlight w:val="yellow"/>
        </w:rPr>
        <w:t xml:space="preserve"> States by suit on the judgment, a certified or exemplified copy of which will be conclusive </w:t>
      </w:r>
      <w:r>
        <w:rPr>
          <w:rFonts w:ascii="Arial" w:hAnsi="Arial" w:eastAsia="Times New Roman" w:cs="Arial"/>
          <w:sz w:val="20"/>
          <w:szCs w:val="20"/>
          <w:highlight w:val="yellow"/>
        </w:rPr>
        <w:lastRenderedPageBreak/>
        <w:t>evidence of the fact and the amount of indebtedness or liability described</w:t>
      </w:r>
      <w:r w:rsidR="00AC504F">
        <w:rPr>
          <w:rFonts w:ascii="Arial" w:hAnsi="Arial" w:eastAsia="Times New Roman" w:cs="Arial"/>
          <w:sz w:val="20"/>
          <w:szCs w:val="20"/>
          <w:highlight w:val="yellow"/>
        </w:rPr>
        <w:t xml:space="preserve"> in that final judgment</w:t>
      </w:r>
      <w:r>
        <w:rPr>
          <w:rFonts w:ascii="Arial" w:hAnsi="Arial" w:eastAsia="Times New Roman" w:cs="Arial"/>
          <w:sz w:val="20"/>
          <w:szCs w:val="20"/>
          <w:highlight w:val="yellow"/>
        </w:rPr>
        <w:t>, or in any other manner provided by applicable law.]</w:t>
      </w:r>
    </w:p>
    <w:p w:rsidRPr="003D4184" w:rsidR="003D4184" w:rsidP="003D4184" w:rsidRDefault="003D4184" w14:paraId="0D3B1EA1" w14:textId="77777777">
      <w:pPr>
        <w:tabs>
          <w:tab w:val="left" w:pos="2160"/>
        </w:tabs>
        <w:autoSpaceDE w:val="0"/>
        <w:autoSpaceDN w:val="0"/>
        <w:adjustRightInd w:val="0"/>
        <w:ind w:left="270"/>
        <w:jc w:val="both"/>
        <w:outlineLvl w:val="5"/>
        <w:rPr>
          <w:rFonts w:ascii="Arial" w:hAnsi="Arial" w:eastAsia="Times New Roman" w:cs="Arial"/>
          <w:sz w:val="20"/>
          <w:szCs w:val="20"/>
        </w:rPr>
      </w:pPr>
      <w:r>
        <w:rPr>
          <w:rFonts w:ascii="Arial" w:hAnsi="Arial" w:eastAsia="Times New Roman" w:cs="Arial"/>
          <w:b/>
          <w:sz w:val="20"/>
          <w:szCs w:val="20"/>
        </w:rPr>
        <w:t xml:space="preserve">4.7.3. </w:t>
      </w:r>
      <w:r>
        <w:rPr>
          <w:rFonts w:ascii="Arial" w:hAnsi="Arial" w:eastAsia="Times New Roman" w:cs="Arial"/>
          <w:b/>
          <w:bCs/>
          <w:sz w:val="20"/>
          <w:szCs w:val="20"/>
          <w:highlight w:val="yellow"/>
        </w:rPr>
        <w:t>[Applicable Only to Foreign Guarantor: Guarantor’s Process Agent.</w:t>
      </w:r>
      <w:r>
        <w:rPr>
          <w:rFonts w:ascii="Arial" w:hAnsi="Arial" w:eastAsia="Times New Roman" w:cs="Arial"/>
          <w:sz w:val="20"/>
          <w:szCs w:val="20"/>
          <w:highlight w:val="yellow"/>
        </w:rPr>
        <w:t xml:space="preserve"> Guarantor irrevocably designates, appoints and empowers [_________________________________________ Georgia, ____ United States of America] as its authorized agent to receive on its behalf and on behalf of its property service of copies of the summons and complaint and any other process which may be served in any action or proceeding between Beneficiary and Guarantor arising out of or relating to this Guaranty. The service may be made by mailing or delivering a copy of the process in care of the process agent, and Guarantor irrevocably authorizes and directs its designated process agent to accept the service on its behalf. Guarantor further agrees that failure by a process agent appointed in accordance with this section to notify Guarantor of the process will not invalidate the process or service or the proceeding concerned. Despite the preceding sentences, nothing in this Guaranty will affect the rights of either party to serve process in any other manner permitted by applicable law. Guarantor will maintain the process agent, or any other Person located within the State of Georgia as may be acceptable to Beneficiary, as its agent for service of process in the State of Georgia during the duration of this Guaranty and twelve months after, at Guarantor’s sole cost and expense. If for any reason, the appointed process agent is no longer acting as process agent, Guarantor must promptly (and in any event within seven Days) appoint a replacement agent in the State of Georgia as its authorized agent to receive on its behalf and on behalf of its property, service of copies of the summons and complaint and any other process which may be served in any action or proceeding between Beneficiary and Guarantor arising out of or relating to this Guaranty. If Guarantor fails to appoint a replacement process agent as provided in this Section 4.7.3, Beneficiary may appoint the replacement process agent on behalf of Guarantor, at Guarantor’s sole cost and expense.]</w:t>
      </w:r>
    </w:p>
    <w:p w:rsidRPr="003D4184" w:rsidR="003D4184" w:rsidP="003D4184" w:rsidRDefault="003D4184" w14:paraId="3012CEDF" w14:textId="77777777">
      <w:pPr>
        <w:tabs>
          <w:tab w:val="left" w:pos="2160"/>
        </w:tabs>
        <w:autoSpaceDE w:val="0"/>
        <w:autoSpaceDN w:val="0"/>
        <w:adjustRightInd w:val="0"/>
        <w:spacing w:after="0"/>
        <w:ind w:left="274"/>
        <w:jc w:val="both"/>
        <w:outlineLvl w:val="5"/>
        <w:rPr>
          <w:rFonts w:ascii="Arial" w:hAnsi="Arial" w:eastAsia="Times New Roman" w:cs="Arial"/>
          <w:sz w:val="20"/>
          <w:szCs w:val="20"/>
        </w:rPr>
      </w:pPr>
      <w:r>
        <w:rPr>
          <w:rFonts w:ascii="Arial" w:hAnsi="Arial" w:eastAsia="Times New Roman" w:cs="Arial"/>
          <w:b/>
          <w:bCs/>
          <w:sz w:val="20"/>
          <w:szCs w:val="20"/>
        </w:rPr>
        <w:t xml:space="preserve">4.7.4 </w:t>
      </w:r>
      <w:r>
        <w:rPr>
          <w:rFonts w:ascii="Arial" w:hAnsi="Arial" w:eastAsia="Times New Roman" w:cs="Arial"/>
          <w:b/>
          <w:bCs/>
          <w:sz w:val="20"/>
          <w:szCs w:val="20"/>
          <w:highlight w:val="yellow"/>
        </w:rPr>
        <w:t>[Applicable Only to Foreign Guarantor: Payment in U.S. Dollars; Judgement Currency.</w:t>
      </w:r>
      <w:r>
        <w:rPr>
          <w:rFonts w:ascii="Arial" w:hAnsi="Arial" w:eastAsia="Times New Roman" w:cs="Arial"/>
          <w:sz w:val="20"/>
          <w:szCs w:val="20"/>
          <w:highlight w:val="yellow"/>
        </w:rPr>
        <w:t xml:space="preserve"> This Guaranty is made by the Guarantor regarding a transaction in which the specification of payment in United States Dollars (“</w:t>
      </w:r>
      <w:r>
        <w:rPr>
          <w:rFonts w:ascii="Arial" w:hAnsi="Arial" w:eastAsia="Times New Roman" w:cs="Arial"/>
          <w:b/>
          <w:bCs/>
          <w:sz w:val="20"/>
          <w:szCs w:val="20"/>
          <w:highlight w:val="yellow"/>
        </w:rPr>
        <w:t>Dollars</w:t>
      </w:r>
      <w:r>
        <w:rPr>
          <w:rFonts w:ascii="Arial" w:hAnsi="Arial" w:eastAsia="Times New Roman" w:cs="Arial"/>
          <w:sz w:val="20"/>
          <w:szCs w:val="20"/>
          <w:highlight w:val="yellow"/>
        </w:rPr>
        <w:t>”) and payment at the designated place of payment is of the essence, and Dollars will be the currency of accounting in all events. The payment obligations of the Guarantor under this Guaranty will not be discharged by any amount paid in another currency or in another place, whether in accordance with a judgment or otherwise, to the extent that any amount paid on conversion to Dollars and transferred to the designated place of payment under normal banking procedures does not yield the amount of Dollars due under this Guaranty.]</w:t>
      </w:r>
    </w:p>
    <w:p w:rsidRPr="003D4184" w:rsidR="003D4184" w:rsidP="003D4184" w:rsidRDefault="003D4184" w14:paraId="5C970652" w14:textId="77777777">
      <w:pPr>
        <w:tabs>
          <w:tab w:val="left" w:pos="2160"/>
        </w:tabs>
        <w:autoSpaceDE w:val="0"/>
        <w:autoSpaceDN w:val="0"/>
        <w:adjustRightInd w:val="0"/>
        <w:spacing w:after="0"/>
        <w:ind w:left="274"/>
        <w:jc w:val="both"/>
        <w:outlineLvl w:val="5"/>
        <w:rPr>
          <w:rFonts w:ascii="Arial" w:hAnsi="Arial" w:eastAsia="Times New Roman" w:cs="Arial"/>
          <w:sz w:val="20"/>
          <w:szCs w:val="20"/>
          <w:highlight w:val="yellow"/>
        </w:rPr>
      </w:pPr>
      <w:r>
        <w:rPr>
          <w:rFonts w:ascii="Arial" w:hAnsi="Arial" w:eastAsia="Times New Roman" w:cs="Arial"/>
          <w:b/>
          <w:bCs/>
          <w:sz w:val="20"/>
          <w:szCs w:val="20"/>
        </w:rPr>
        <w:t xml:space="preserve">4.7.5 </w:t>
      </w:r>
      <w:r>
        <w:rPr>
          <w:rFonts w:ascii="Arial" w:hAnsi="Arial" w:eastAsia="Times New Roman" w:cs="Arial"/>
          <w:b/>
          <w:bCs/>
          <w:sz w:val="20"/>
          <w:szCs w:val="20"/>
          <w:highlight w:val="yellow"/>
        </w:rPr>
        <w:t>[Applicable Only to Foreign Guarantor:</w:t>
      </w:r>
      <w:r>
        <w:rPr>
          <w:rFonts w:ascii="Arial" w:hAnsi="Arial" w:eastAsia="Times New Roman" w:cs="Arial"/>
          <w:sz w:val="20"/>
          <w:szCs w:val="20"/>
          <w:highlight w:val="yellow"/>
        </w:rPr>
        <w:t xml:space="preserve"> </w:t>
      </w:r>
      <w:r>
        <w:rPr>
          <w:rFonts w:ascii="Arial" w:hAnsi="Arial" w:eastAsia="Times New Roman" w:cs="Arial"/>
          <w:b/>
          <w:bCs/>
          <w:sz w:val="20"/>
          <w:szCs w:val="20"/>
          <w:highlight w:val="yellow"/>
        </w:rPr>
        <w:t>Withholding Taxes.</w:t>
      </w:r>
      <w:r>
        <w:rPr>
          <w:rFonts w:ascii="Arial" w:hAnsi="Arial" w:eastAsia="Times New Roman" w:cs="Arial"/>
          <w:sz w:val="20"/>
          <w:szCs w:val="20"/>
          <w:highlight w:val="yellow"/>
        </w:rPr>
        <w:t xml:space="preserve"> </w:t>
      </w:r>
    </w:p>
    <w:p w:rsidRPr="003D4184" w:rsidR="003D4184" w:rsidP="003D4184" w:rsidRDefault="003D4184" w14:paraId="28DA524E" w14:textId="77777777">
      <w:pPr>
        <w:autoSpaceDE w:val="0"/>
        <w:autoSpaceDN w:val="0"/>
        <w:adjustRightInd w:val="0"/>
        <w:spacing w:after="0"/>
        <w:ind w:left="1170" w:hanging="364"/>
        <w:jc w:val="both"/>
        <w:outlineLvl w:val="5"/>
        <w:rPr>
          <w:rFonts w:ascii="Arial" w:hAnsi="Arial" w:eastAsia="Times New Roman" w:cs="Arial"/>
          <w:sz w:val="20"/>
          <w:szCs w:val="20"/>
          <w:highlight w:val="yellow"/>
        </w:rPr>
      </w:pPr>
      <w:r>
        <w:rPr>
          <w:rFonts w:ascii="Arial" w:hAnsi="Arial" w:eastAsia="Times New Roman" w:cs="Arial"/>
          <w:b/>
          <w:bCs/>
          <w:sz w:val="20"/>
          <w:szCs w:val="20"/>
          <w:highlight w:val="yellow"/>
        </w:rPr>
        <w:t>a.</w:t>
      </w:r>
      <w:r>
        <w:rPr>
          <w:rFonts w:ascii="Arial" w:hAnsi="Arial" w:eastAsia="Times New Roman" w:cs="Arial"/>
          <w:sz w:val="20"/>
          <w:szCs w:val="20"/>
          <w:highlight w:val="yellow"/>
        </w:rPr>
        <w:t xml:space="preserve"> </w:t>
      </w:r>
      <w:r>
        <w:rPr>
          <w:rFonts w:ascii="Arial" w:hAnsi="Arial" w:eastAsia="Times New Roman" w:cs="Arial"/>
          <w:sz w:val="20"/>
          <w:szCs w:val="20"/>
          <w:highlight w:val="yellow"/>
        </w:rPr>
        <w:tab/>
        <w:t>Each payment by Guarantor to Beneficiary in accordance with this Guaranty must be made free and clear of, and without deduction or withholding for or on Beneficiary of, any present or future taxes, duties, assessments, fees, deductions, withholding, levies, imposts, or charges of whatsoever nature (other than taxes imposed on income or gross revenue), together with any liabilities (including penalties, interest and expenses) in regarding the preceding imposed or levied by or on behalf of the government of any jurisdiction(s) in which the Guarantor is organized, headquartered, or conducting business, or any political subdivision of the government or any authority or agency of the government having the power to tax (“</w:t>
      </w:r>
      <w:r>
        <w:rPr>
          <w:rFonts w:ascii="Arial" w:hAnsi="Arial" w:eastAsia="Times New Roman" w:cs="Arial"/>
          <w:b/>
          <w:bCs/>
          <w:sz w:val="20"/>
          <w:szCs w:val="20"/>
          <w:highlight w:val="yellow"/>
        </w:rPr>
        <w:t>Withholding Taxes</w:t>
      </w:r>
      <w:r>
        <w:rPr>
          <w:rFonts w:ascii="Arial" w:hAnsi="Arial" w:eastAsia="Times New Roman" w:cs="Arial"/>
          <w:sz w:val="20"/>
          <w:szCs w:val="20"/>
          <w:highlight w:val="yellow"/>
        </w:rPr>
        <w:t>”), unless the deduction or withholding is required by the laws of any jurisdiction(s) in which the Guarantor is organized, headquartered, or conducting business, or any province or political subdivision of the jurisdiction(s) or by the administrative practice of any taxing authority. If any such deduction or withholding is required, or if no such deduction or withholding is required but Withholding Taxes are otherwise payable concerning the payment, Guarantor must:</w:t>
      </w:r>
    </w:p>
    <w:p w:rsidRPr="003D4184" w:rsidR="003D4184" w:rsidP="003D4184" w:rsidRDefault="003D4184" w14:paraId="5A943DFF" w14:textId="77777777">
      <w:pPr>
        <w:autoSpaceDE w:val="0"/>
        <w:autoSpaceDN w:val="0"/>
        <w:adjustRightInd w:val="0"/>
        <w:spacing w:after="0"/>
        <w:ind w:left="144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 xml:space="preserve">i.  Pay any additional amount to Beneficiary as may be necessary to ensure that Beneficiary receives and retains a net sum after such deduction, withholding, or payment of Withholding Taxes (including any deduction, withholding, or payment of Withholding Taxes regarding the additional amount), free from any liability </w:t>
      </w:r>
      <w:proofErr w:type="spellStart"/>
      <w:r>
        <w:rPr>
          <w:rFonts w:ascii="Arial" w:hAnsi="Arial" w:eastAsia="Times New Roman" w:cs="Arial"/>
          <w:sz w:val="20"/>
          <w:szCs w:val="20"/>
          <w:highlight w:val="yellow"/>
        </w:rPr>
        <w:t>regrading</w:t>
      </w:r>
      <w:proofErr w:type="spellEnd"/>
      <w:r>
        <w:rPr>
          <w:rFonts w:ascii="Arial" w:hAnsi="Arial" w:eastAsia="Times New Roman" w:cs="Arial"/>
          <w:sz w:val="20"/>
          <w:szCs w:val="20"/>
          <w:highlight w:val="yellow"/>
        </w:rPr>
        <w:t xml:space="preserve"> the Withholding Taxes, equal to the sum that Beneficiary would have received and retained had no such deduction or withholding of Withholding Taxes been made or required to be made and had no such Withholding Taxes been payable;</w:t>
      </w:r>
    </w:p>
    <w:p w:rsidRPr="003D4184" w:rsidR="003D4184" w:rsidP="003D4184" w:rsidRDefault="003D4184" w14:paraId="041B3A4E" w14:textId="77777777">
      <w:pPr>
        <w:autoSpaceDE w:val="0"/>
        <w:autoSpaceDN w:val="0"/>
        <w:adjustRightInd w:val="0"/>
        <w:spacing w:after="0"/>
        <w:ind w:left="144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ii.</w:t>
      </w:r>
      <w:r>
        <w:rPr>
          <w:rFonts w:ascii="Arial" w:hAnsi="Arial" w:eastAsia="Times New Roman" w:cs="Arial"/>
          <w:sz w:val="20"/>
          <w:szCs w:val="20"/>
          <w:highlight w:val="yellow"/>
        </w:rPr>
        <w:tab/>
        <w:t>Deduct the Withholding Taxes from the payment:</w:t>
      </w:r>
    </w:p>
    <w:p w:rsidRPr="003D4184" w:rsidR="003D4184" w:rsidP="003D4184" w:rsidRDefault="003D4184" w14:paraId="23986D92" w14:textId="77777777">
      <w:pPr>
        <w:autoSpaceDE w:val="0"/>
        <w:autoSpaceDN w:val="0"/>
        <w:adjustRightInd w:val="0"/>
        <w:spacing w:after="0"/>
        <w:ind w:left="144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iii.</w:t>
      </w:r>
      <w:r>
        <w:rPr>
          <w:rFonts w:ascii="Arial" w:hAnsi="Arial" w:eastAsia="Times New Roman" w:cs="Arial"/>
          <w:sz w:val="20"/>
          <w:szCs w:val="20"/>
          <w:highlight w:val="yellow"/>
        </w:rPr>
        <w:tab/>
        <w:t xml:space="preserve">Pay the full amount deducted </w:t>
      </w:r>
      <w:proofErr w:type="gramStart"/>
      <w:r>
        <w:rPr>
          <w:rFonts w:ascii="Arial" w:hAnsi="Arial" w:eastAsia="Times New Roman" w:cs="Arial"/>
          <w:sz w:val="20"/>
          <w:szCs w:val="20"/>
          <w:highlight w:val="yellow"/>
        </w:rPr>
        <w:t>to</w:t>
      </w:r>
      <w:proofErr w:type="gramEnd"/>
      <w:r>
        <w:rPr>
          <w:rFonts w:ascii="Arial" w:hAnsi="Arial" w:eastAsia="Times New Roman" w:cs="Arial"/>
          <w:sz w:val="20"/>
          <w:szCs w:val="20"/>
          <w:highlight w:val="yellow"/>
        </w:rPr>
        <w:t xml:space="preserve"> the relevant authority on account of the Withholding Taxes within the time provided under, and otherwise in accordance with applicable law or any jurisdiction; and</w:t>
      </w:r>
    </w:p>
    <w:p w:rsidRPr="003D4184" w:rsidR="003D4184" w:rsidP="003D4184" w:rsidRDefault="003D4184" w14:paraId="29B04C76" w14:textId="77777777">
      <w:pPr>
        <w:autoSpaceDE w:val="0"/>
        <w:autoSpaceDN w:val="0"/>
        <w:adjustRightInd w:val="0"/>
        <w:spacing w:after="0"/>
        <w:ind w:left="144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lastRenderedPageBreak/>
        <w:t>iv.</w:t>
      </w:r>
      <w:r>
        <w:rPr>
          <w:rFonts w:ascii="Arial" w:hAnsi="Arial" w:eastAsia="Times New Roman" w:cs="Arial"/>
          <w:sz w:val="20"/>
          <w:szCs w:val="20"/>
          <w:highlight w:val="yellow"/>
        </w:rPr>
        <w:tab/>
        <w:t>Promptly after the date the Withholding Taxes are due under the applicable law of any jurisdiction, deliver to Beneficiary the forms prescribed by the relevant authority of the Withholding Taxes.</w:t>
      </w:r>
    </w:p>
    <w:p w:rsidRPr="003D4184" w:rsidR="003D4184" w:rsidP="003D4184" w:rsidRDefault="003D4184" w14:paraId="6B721D36" w14:textId="77777777">
      <w:pPr>
        <w:autoSpaceDE w:val="0"/>
        <w:autoSpaceDN w:val="0"/>
        <w:adjustRightInd w:val="0"/>
        <w:spacing w:after="0"/>
        <w:ind w:left="117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b.</w:t>
      </w:r>
      <w:r>
        <w:rPr>
          <w:rFonts w:ascii="Arial" w:hAnsi="Arial" w:eastAsia="Times New Roman" w:cs="Arial"/>
          <w:sz w:val="20"/>
          <w:szCs w:val="20"/>
          <w:highlight w:val="yellow"/>
        </w:rPr>
        <w:tab/>
        <w:t>Without duplication of Section 4.7.5.a above, Guarantor agrees to indemnify and hold harmless Beneficiary for any Withholding Taxes that may become payable by Beneficiary concerning any payment made by Guarantor under this Guaranty. Without limiting the generality of the preceding sentence, if:</w:t>
      </w:r>
    </w:p>
    <w:p w:rsidRPr="003D4184" w:rsidR="003D4184" w:rsidP="003D4184" w:rsidRDefault="003D4184" w14:paraId="13D7925D" w14:textId="77AD6D5C">
      <w:pPr>
        <w:autoSpaceDE w:val="0"/>
        <w:autoSpaceDN w:val="0"/>
        <w:adjustRightInd w:val="0"/>
        <w:spacing w:after="0"/>
        <w:ind w:left="144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i.</w:t>
      </w:r>
      <w:r>
        <w:rPr>
          <w:rFonts w:ascii="Arial" w:hAnsi="Arial" w:eastAsia="Times New Roman" w:cs="Arial"/>
          <w:sz w:val="20"/>
          <w:szCs w:val="20"/>
          <w:highlight w:val="yellow"/>
        </w:rPr>
        <w:tab/>
        <w:t xml:space="preserve">Guarantor or Beneficiary is assessed or reassessed by any applicable taxing authority for any Withholding Taxes regarding any payment made by the Guarantor under this Guaranty, Guarantor must pay the Withholding Taxes together with interest or penalties on the Withholding Taxes to the taxing authority on behalf of Beneficiary and without recourse against Beneficiary within 30 Days </w:t>
      </w:r>
      <w:r w:rsidR="00AB5D4E">
        <w:rPr>
          <w:rFonts w:ascii="Arial" w:hAnsi="Arial" w:eastAsia="Times New Roman" w:cs="Arial"/>
          <w:sz w:val="20"/>
          <w:szCs w:val="20"/>
          <w:highlight w:val="yellow"/>
        </w:rPr>
        <w:t>after</w:t>
      </w:r>
      <w:r>
        <w:rPr>
          <w:rFonts w:ascii="Arial" w:hAnsi="Arial" w:eastAsia="Times New Roman" w:cs="Arial"/>
          <w:sz w:val="20"/>
          <w:szCs w:val="20"/>
          <w:highlight w:val="yellow"/>
        </w:rPr>
        <w:t xml:space="preserve"> demand by Beneficiary; or</w:t>
      </w:r>
    </w:p>
    <w:p w:rsidRPr="003D4184" w:rsidR="003D4184" w:rsidP="003D4184" w:rsidRDefault="003D4184" w14:paraId="5016A312" w14:textId="77777777">
      <w:pPr>
        <w:autoSpaceDE w:val="0"/>
        <w:autoSpaceDN w:val="0"/>
        <w:adjustRightInd w:val="0"/>
        <w:spacing w:after="0"/>
        <w:ind w:left="144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ii.</w:t>
      </w:r>
      <w:r>
        <w:rPr>
          <w:rFonts w:ascii="Arial" w:hAnsi="Arial" w:eastAsia="Times New Roman" w:cs="Arial"/>
          <w:sz w:val="20"/>
          <w:szCs w:val="20"/>
          <w:highlight w:val="yellow"/>
        </w:rPr>
        <w:tab/>
        <w:t xml:space="preserve">Beneficiary pays any Withholding Taxes regarding any payment made by Guarantor under this </w:t>
      </w:r>
      <w:proofErr w:type="gramStart"/>
      <w:r>
        <w:rPr>
          <w:rFonts w:ascii="Arial" w:hAnsi="Arial" w:eastAsia="Times New Roman" w:cs="Arial"/>
          <w:sz w:val="20"/>
          <w:szCs w:val="20"/>
          <w:highlight w:val="yellow"/>
        </w:rPr>
        <w:t>Guaranty,</w:t>
      </w:r>
      <w:proofErr w:type="gramEnd"/>
      <w:r>
        <w:rPr>
          <w:rFonts w:ascii="Arial" w:hAnsi="Arial" w:eastAsia="Times New Roman" w:cs="Arial"/>
          <w:sz w:val="20"/>
          <w:szCs w:val="20"/>
          <w:highlight w:val="yellow"/>
        </w:rPr>
        <w:t xml:space="preserve"> Guarantor agrees to indemnify Beneficiary upon receipt of the notice called or in Section 4.7.5.d. below.</w:t>
      </w:r>
    </w:p>
    <w:p w:rsidRPr="003D4184" w:rsidR="003D4184" w:rsidP="003D4184" w:rsidRDefault="003D4184" w14:paraId="0F7AC69A" w14:textId="77777777">
      <w:pPr>
        <w:autoSpaceDE w:val="0"/>
        <w:autoSpaceDN w:val="0"/>
        <w:adjustRightInd w:val="0"/>
        <w:spacing w:after="0"/>
        <w:ind w:left="117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c.</w:t>
      </w:r>
      <w:r>
        <w:rPr>
          <w:rFonts w:ascii="Arial" w:hAnsi="Arial" w:eastAsia="Times New Roman" w:cs="Arial"/>
          <w:sz w:val="20"/>
          <w:szCs w:val="20"/>
          <w:highlight w:val="yellow"/>
        </w:rPr>
        <w:tab/>
        <w:t>Without duplication of Section 4.7.5.a. or b. above, Guarantor agrees to indemnify and hold harmless Beneficiary for any additional taxes on net income that Beneficiary may be obligated to pay because of the receipt by it or payment by Guarantor of any amount under this Section 4.7.5.</w:t>
      </w:r>
    </w:p>
    <w:p w:rsidRPr="003D4184" w:rsidR="003D4184" w:rsidP="003D4184" w:rsidRDefault="003D4184" w14:paraId="7421CC59" w14:textId="0C5211E6">
      <w:pPr>
        <w:autoSpaceDE w:val="0"/>
        <w:autoSpaceDN w:val="0"/>
        <w:adjustRightInd w:val="0"/>
        <w:spacing w:after="0"/>
        <w:ind w:left="1170" w:hanging="274"/>
        <w:jc w:val="both"/>
        <w:outlineLvl w:val="5"/>
        <w:rPr>
          <w:rFonts w:ascii="Arial" w:hAnsi="Arial" w:eastAsia="Times New Roman" w:cs="Arial"/>
          <w:sz w:val="20"/>
          <w:szCs w:val="20"/>
          <w:highlight w:val="yellow"/>
        </w:rPr>
      </w:pPr>
      <w:r>
        <w:rPr>
          <w:rFonts w:ascii="Arial" w:hAnsi="Arial" w:eastAsia="Times New Roman" w:cs="Arial"/>
          <w:sz w:val="20"/>
          <w:szCs w:val="20"/>
          <w:highlight w:val="yellow"/>
        </w:rPr>
        <w:t>d.</w:t>
      </w:r>
      <w:r>
        <w:rPr>
          <w:rFonts w:ascii="Arial" w:hAnsi="Arial" w:eastAsia="Times New Roman" w:cs="Arial"/>
          <w:sz w:val="20"/>
          <w:szCs w:val="20"/>
          <w:highlight w:val="yellow"/>
        </w:rPr>
        <w:tab/>
        <w:t xml:space="preserve">Beneficiary will promptly notify Guarantor of any Withholding Taxes that Beneficiary has paid or received an assessment or reassessment from any applicable taxing authority and for which the Guarantor is required to indemnify it in accordance with this Section 4.7.5 and of the amount payable to it by Guarantor this Section 4.7.5, and Guarantor will indemnify Beneficiary within 60 Days </w:t>
      </w:r>
      <w:r w:rsidR="00AB5D4E">
        <w:rPr>
          <w:rFonts w:ascii="Arial" w:hAnsi="Arial" w:eastAsia="Times New Roman" w:cs="Arial"/>
          <w:sz w:val="20"/>
          <w:szCs w:val="20"/>
          <w:highlight w:val="yellow"/>
        </w:rPr>
        <w:t>after</w:t>
      </w:r>
      <w:r>
        <w:rPr>
          <w:rFonts w:ascii="Arial" w:hAnsi="Arial" w:eastAsia="Times New Roman" w:cs="Arial"/>
          <w:sz w:val="20"/>
          <w:szCs w:val="20"/>
          <w:highlight w:val="yellow"/>
        </w:rPr>
        <w:t xml:space="preserve"> receipt of such notice. Beneficiary will reasonably determine the amount payable to it, will contest in good faith any taxes that Beneficiary believes in good faith are not assessable, and the determination will, absent manifest error, be final and binding on Guarantor.</w:t>
      </w:r>
    </w:p>
    <w:p w:rsidRPr="003D4184" w:rsidR="003D4184" w:rsidP="003D4184" w:rsidRDefault="003D4184" w14:paraId="4FA95A55" w14:textId="77777777">
      <w:pPr>
        <w:autoSpaceDE w:val="0"/>
        <w:autoSpaceDN w:val="0"/>
        <w:adjustRightInd w:val="0"/>
        <w:spacing w:after="0"/>
        <w:ind w:left="1170" w:hanging="274"/>
        <w:jc w:val="both"/>
        <w:outlineLvl w:val="5"/>
        <w:rPr>
          <w:rFonts w:ascii="Arial" w:hAnsi="Arial" w:eastAsia="Times New Roman" w:cs="Arial"/>
          <w:sz w:val="20"/>
          <w:szCs w:val="20"/>
        </w:rPr>
      </w:pPr>
      <w:r>
        <w:rPr>
          <w:rFonts w:ascii="Arial" w:hAnsi="Arial" w:eastAsia="Times New Roman" w:cs="Arial"/>
          <w:sz w:val="20"/>
          <w:szCs w:val="20"/>
          <w:highlight w:val="yellow"/>
        </w:rPr>
        <w:t>e.</w:t>
      </w:r>
      <w:r>
        <w:rPr>
          <w:rFonts w:ascii="Arial" w:hAnsi="Arial" w:eastAsia="Times New Roman" w:cs="Arial"/>
          <w:sz w:val="20"/>
          <w:szCs w:val="20"/>
          <w:highlight w:val="yellow"/>
        </w:rPr>
        <w:tab/>
        <w:t>Guarantor’s obligations under this Section 4.7.5 will survive for one year following termination of this Guaranty and the payment of all amounts payable under other provisions of this Guaranty.</w:t>
      </w:r>
    </w:p>
    <w:p w:rsidRPr="003D4184" w:rsidR="003D4184" w:rsidP="003D4184" w:rsidRDefault="003D4184" w14:paraId="2EFB4D37" w14:textId="77777777">
      <w:pPr>
        <w:tabs>
          <w:tab w:val="left" w:pos="2160"/>
        </w:tabs>
        <w:autoSpaceDE w:val="0"/>
        <w:autoSpaceDN w:val="0"/>
        <w:adjustRightInd w:val="0"/>
        <w:spacing w:after="0"/>
        <w:ind w:left="274"/>
        <w:jc w:val="both"/>
        <w:outlineLvl w:val="5"/>
        <w:rPr>
          <w:rFonts w:ascii="Arial" w:hAnsi="Arial" w:eastAsia="Times New Roman" w:cs="Arial"/>
          <w:sz w:val="20"/>
          <w:szCs w:val="20"/>
        </w:rPr>
      </w:pPr>
      <w:r>
        <w:rPr>
          <w:rFonts w:ascii="Arial" w:hAnsi="Arial" w:eastAsia="Times New Roman" w:cs="Arial"/>
          <w:b/>
          <w:bCs/>
          <w:sz w:val="20"/>
          <w:szCs w:val="20"/>
        </w:rPr>
        <w:t xml:space="preserve">4.7.6. </w:t>
      </w:r>
      <w:r>
        <w:rPr>
          <w:rFonts w:ascii="Arial" w:hAnsi="Arial" w:eastAsia="Times New Roman" w:cs="Arial"/>
          <w:b/>
          <w:bCs/>
          <w:sz w:val="20"/>
          <w:szCs w:val="20"/>
          <w:highlight w:val="yellow"/>
        </w:rPr>
        <w:t>[Applicable Only to Foreign Guarantor: Waiver of Objection to Venue.</w:t>
      </w:r>
      <w:r>
        <w:rPr>
          <w:rFonts w:ascii="Arial" w:hAnsi="Arial" w:eastAsia="Times New Roman" w:cs="Arial"/>
          <w:sz w:val="20"/>
          <w:szCs w:val="20"/>
          <w:highlight w:val="yellow"/>
        </w:rPr>
        <w:t xml:space="preserve"> </w:t>
      </w:r>
      <w:r>
        <w:rPr>
          <w:rFonts w:ascii="Arial" w:hAnsi="Arial" w:eastAsia="Times New Roman" w:cs="Arial"/>
          <w:b/>
          <w:bCs/>
          <w:sz w:val="20"/>
          <w:szCs w:val="20"/>
          <w:highlight w:val="yellow"/>
        </w:rPr>
        <w:t>GUARANTOR HEREBY IRREVOCABLY WAIVES, TO THE FULLEST EXTENT PERMITTED BY APPLICABLE LAW, ANY OBJECTION WHICH IT MAY NOW OR HEREAFTER HAVE TO THE LAYING OF VENUE OF ANY SUIT, ACTION OR PROCEEDING BETWEEN THEM ARISING OUT OF OR RELATING TO THIS GUARANTY BROUGHT IN ANY COURT IN OR OF THE STATE OF GEORGIA, AND HEREBY FURTHER IRREVOCABLY WAIVES ANY CLAIM THAT ANY SUCH SUIT, ACTION OR PROCEEDING BROUGHT IN ANY COURT IN OR OF THE STATE OF GEORGIA HAS BEEN BROUGHT IN AN INCONVENIENT FORUM.</w:t>
      </w:r>
      <w:r>
        <w:rPr>
          <w:rFonts w:ascii="Arial" w:hAnsi="Arial" w:eastAsia="Times New Roman" w:cs="Arial"/>
          <w:sz w:val="20"/>
          <w:szCs w:val="20"/>
          <w:highlight w:val="yellow"/>
        </w:rPr>
        <w:t>]</w:t>
      </w:r>
      <w:r>
        <w:rPr>
          <w:rFonts w:ascii="Arial" w:hAnsi="Arial" w:eastAsia="Times New Roman" w:cs="Arial"/>
          <w:sz w:val="20"/>
          <w:szCs w:val="20"/>
        </w:rPr>
        <w:t xml:space="preserve"> </w:t>
      </w:r>
    </w:p>
    <w:p w:rsidRPr="003D4184" w:rsidR="003D4184" w:rsidP="003D4184" w:rsidRDefault="003D4184" w14:paraId="79CE04C1" w14:textId="77777777">
      <w:pPr>
        <w:tabs>
          <w:tab w:val="left" w:pos="2160"/>
        </w:tabs>
        <w:autoSpaceDE w:val="0"/>
        <w:autoSpaceDN w:val="0"/>
        <w:adjustRightInd w:val="0"/>
        <w:spacing w:after="0"/>
        <w:ind w:left="274"/>
        <w:jc w:val="both"/>
        <w:outlineLvl w:val="5"/>
        <w:rPr>
          <w:rFonts w:ascii="Arial" w:hAnsi="Arial" w:eastAsia="Times New Roman" w:cs="Arial"/>
          <w:sz w:val="20"/>
          <w:szCs w:val="20"/>
        </w:rPr>
      </w:pPr>
    </w:p>
    <w:p w:rsidR="003D4184" w:rsidP="003D4184" w:rsidRDefault="003D4184" w14:paraId="6F994EC8" w14:textId="56882AC6">
      <w:pPr>
        <w:tabs>
          <w:tab w:val="left" w:pos="2160"/>
        </w:tabs>
        <w:autoSpaceDE w:val="0"/>
        <w:autoSpaceDN w:val="0"/>
        <w:adjustRightInd w:val="0"/>
        <w:spacing w:after="0"/>
        <w:ind w:left="274"/>
        <w:jc w:val="both"/>
        <w:outlineLvl w:val="5"/>
        <w:rPr>
          <w:rFonts w:ascii="Arial" w:hAnsi="Arial" w:eastAsia="Times New Roman" w:cs="Arial"/>
          <w:b/>
          <w:bCs/>
          <w:sz w:val="20"/>
          <w:szCs w:val="20"/>
        </w:rPr>
      </w:pPr>
      <w:r>
        <w:rPr>
          <w:rFonts w:ascii="Arial" w:hAnsi="Arial" w:eastAsia="Times New Roman" w:cs="Arial"/>
          <w:b/>
          <w:bCs/>
          <w:sz w:val="20"/>
          <w:szCs w:val="20"/>
        </w:rPr>
        <w:t xml:space="preserve">4.7.7. </w:t>
      </w:r>
      <w:r>
        <w:rPr>
          <w:rFonts w:ascii="Arial" w:hAnsi="Arial" w:eastAsia="Times New Roman" w:cs="Arial"/>
          <w:b/>
          <w:bCs/>
          <w:sz w:val="20"/>
          <w:szCs w:val="20"/>
          <w:highlight w:val="yellow"/>
        </w:rPr>
        <w:t>[Applicable Only to Foreign Guarantor: Waiver of Immunity.</w:t>
      </w:r>
      <w:r>
        <w:rPr>
          <w:rFonts w:ascii="Arial" w:hAnsi="Arial" w:eastAsia="Times New Roman" w:cs="Arial"/>
          <w:sz w:val="20"/>
          <w:szCs w:val="20"/>
          <w:highlight w:val="yellow"/>
        </w:rPr>
        <w:t xml:space="preserve"> </w:t>
      </w:r>
      <w:r>
        <w:rPr>
          <w:rFonts w:ascii="Arial" w:hAnsi="Arial" w:eastAsia="Times New Roman" w:cs="Arial"/>
          <w:b/>
          <w:bCs/>
          <w:sz w:val="20"/>
          <w:szCs w:val="20"/>
          <w:highlight w:val="yellow"/>
        </w:rPr>
        <w:t xml:space="preserve">TO THE EXTENT THAT THE GUARANTOR HAS OR HEREAFTER MAY ACQUIRE ANY IMMUNITY FROM JURISDICTION OF ANY COURT IN THE STATE OF GEORGIA OR FROM ANY LEGAL PROCESS </w:t>
      </w:r>
      <w:r w:rsidR="00CB3D86">
        <w:rPr>
          <w:rFonts w:ascii="Arial" w:hAnsi="Arial" w:eastAsia="Times New Roman" w:cs="Arial"/>
          <w:b/>
          <w:bCs/>
          <w:sz w:val="20"/>
          <w:szCs w:val="20"/>
          <w:highlight w:val="yellow"/>
        </w:rPr>
        <w:t>IN THE STATE OF GEORGIA</w:t>
      </w:r>
      <w:r>
        <w:rPr>
          <w:rFonts w:ascii="Arial" w:hAnsi="Arial" w:eastAsia="Times New Roman" w:cs="Arial"/>
          <w:b/>
          <w:bCs/>
          <w:sz w:val="20"/>
          <w:szCs w:val="20"/>
          <w:highlight w:val="yellow"/>
        </w:rPr>
        <w:t xml:space="preserve">, GUARANTOR HEREBY WAIVES, TO THE FULLEST EXTENT PERMITTED BY LAW, SUCH IMMUNITY, AND AGREES NOT TO ASSERT, BY WAY OF MOTION, AS A DEFENSE, OR OTHERWISE, IN ANY SUCH SUIT, ACTION OR PROCEEDING, THE DEFENSE OF SOVEREIGN IMMUNITY, OR ANY CLAIM: (1) THAT IS NOT PERSONALLY SUBJECT TO THE JURISDICTION OF THE COURTS IN THE STATE OF GEORGIA BY REASON OF SOVEREIGN IMMUNITY OR OTHERWISE; (2) THAT IT IS IMMUNE FROM ANY LEGAL PROCESS (WHETHER THROUGH SERVICE OR NOTICE, ATTACHMENT </w:t>
      </w:r>
      <w:r w:rsidR="001C0BA0">
        <w:rPr>
          <w:rFonts w:ascii="Arial" w:hAnsi="Arial" w:eastAsia="Times New Roman" w:cs="Arial"/>
          <w:b/>
          <w:bCs/>
          <w:sz w:val="20"/>
          <w:szCs w:val="20"/>
          <w:highlight w:val="yellow"/>
        </w:rPr>
        <w:t>BEFORE</w:t>
      </w:r>
      <w:r>
        <w:rPr>
          <w:rFonts w:ascii="Arial" w:hAnsi="Arial" w:eastAsia="Times New Roman" w:cs="Arial"/>
          <w:b/>
          <w:bCs/>
          <w:sz w:val="20"/>
          <w:szCs w:val="20"/>
          <w:highlight w:val="yellow"/>
        </w:rPr>
        <w:t xml:space="preserve"> THE JUDGMENT, ATTACHMENTS IN AID OF EXECUTION, EXECUTION OR OTHERWISE) REGARDING ITSELF OR ITS PROPERTY, BY REASON OF SOVEREIGN IMMUNITY; (3) THAT ANY ACTION IS BROUGHT IN AN INCONVENIENT FORUM; (4) THAT THE VENUE OF ANY ACTION IS IMPROPER; OR (5) THAT THIS GUARANTY MAY NOT BE ENFORCED IN OR BY A FEDERAL COURT IN THE STATE OF GEORGIA. THE GUARANTOR EXPRESSLY ACKNOWLEDGES THAT THE FOREGOING WAIVERS AND SUBMISSIONS TO JURISDICTION ARE INTENDED TO BE IRREVOCABLE UNDER THE LAWS OF THE STATE OF GEORGIA AND OF THE UNITED STATES OF AMERICA AND OF THE LAWS APPLICABLE TO THE GUARANTOR, INCLUDING THE LAWS OF THE JURISDICTION IN WHICH THE GUARANTOR IS ORGANIZED.]</w:t>
      </w:r>
    </w:p>
    <w:p w:rsidRPr="003D4184" w:rsidR="00D757B5" w:rsidP="003D4184" w:rsidRDefault="00D757B5" w14:paraId="6770336F" w14:textId="77777777">
      <w:pPr>
        <w:tabs>
          <w:tab w:val="left" w:pos="2160"/>
        </w:tabs>
        <w:autoSpaceDE w:val="0"/>
        <w:autoSpaceDN w:val="0"/>
        <w:adjustRightInd w:val="0"/>
        <w:spacing w:after="0"/>
        <w:ind w:left="274"/>
        <w:jc w:val="both"/>
        <w:outlineLvl w:val="5"/>
        <w:rPr>
          <w:rFonts w:ascii="Arial" w:hAnsi="Arial" w:eastAsia="Times New Roman" w:cs="Arial"/>
          <w:sz w:val="20"/>
          <w:szCs w:val="20"/>
        </w:rPr>
      </w:pPr>
    </w:p>
    <w:p w:rsidRPr="003D4184" w:rsidR="003D4184" w:rsidP="003D4184" w:rsidRDefault="003D4184" w14:paraId="56720F00" w14:textId="77777777">
      <w:pPr>
        <w:tabs>
          <w:tab w:val="left" w:pos="2160"/>
        </w:tabs>
        <w:autoSpaceDE w:val="0"/>
        <w:autoSpaceDN w:val="0"/>
        <w:adjustRightInd w:val="0"/>
        <w:ind w:left="270"/>
        <w:jc w:val="both"/>
        <w:outlineLvl w:val="5"/>
        <w:rPr>
          <w:rFonts w:ascii="Arial" w:hAnsi="Arial" w:eastAsia="Times New Roman" w:cs="Arial"/>
          <w:sz w:val="20"/>
          <w:szCs w:val="20"/>
        </w:rPr>
      </w:pPr>
      <w:r>
        <w:rPr>
          <w:rFonts w:ascii="Arial" w:hAnsi="Arial" w:eastAsia="Times New Roman" w:cs="Arial"/>
          <w:b/>
          <w:sz w:val="20"/>
          <w:szCs w:val="20"/>
        </w:rPr>
        <w:t xml:space="preserve">4.7.8. Waiver of Right to Jury Trial. </w:t>
      </w:r>
      <w:r>
        <w:rPr>
          <w:rFonts w:ascii="Arial" w:hAnsi="Arial" w:cs="Arial"/>
          <w:b/>
          <w:bCs/>
          <w:sz w:val="20"/>
          <w:szCs w:val="20"/>
        </w:rPr>
        <w:t xml:space="preserve">GUARANTOR UNCONDITIONALLY AND IRREVOCABLY WAIVES ALL RIGHT TO TRIAL BY JURY IN ANY ACTION, PROCEEDING, OR COUNTERCLAIM (WHETHER BASED </w:t>
      </w:r>
      <w:r>
        <w:rPr>
          <w:rFonts w:ascii="Arial" w:hAnsi="Arial" w:cs="Arial"/>
          <w:b/>
          <w:bCs/>
          <w:sz w:val="20"/>
          <w:szCs w:val="20"/>
        </w:rPr>
        <w:lastRenderedPageBreak/>
        <w:t>ON CONTRACT, TORT, OR OTHERWISE) ARISING OUT OF OR RELATING TO, THIS GUARANTY, OR THE ACTIONS OF BENEFICIARY IN THE NEGOTIATION, ADMINISTRATION, PERFORMANCE OR ENFORCEMENT OF THIS GUARANTY.</w:t>
      </w:r>
    </w:p>
    <w:p w:rsidRPr="003D4184" w:rsidR="003D4184" w:rsidP="003D4184" w:rsidRDefault="003D4184" w14:paraId="70B65F7E" w14:textId="77777777">
      <w:pPr>
        <w:tabs>
          <w:tab w:val="left" w:pos="540"/>
        </w:tabs>
        <w:autoSpaceDE w:val="0"/>
        <w:autoSpaceDN w:val="0"/>
        <w:adjustRightInd w:val="0"/>
        <w:jc w:val="both"/>
        <w:outlineLvl w:val="1"/>
        <w:rPr>
          <w:rFonts w:ascii="Arial" w:hAnsi="Arial" w:eastAsia="Times New Roman" w:cs="Arial"/>
          <w:sz w:val="20"/>
          <w:szCs w:val="20"/>
        </w:rPr>
      </w:pPr>
      <w:r>
        <w:rPr>
          <w:rFonts w:ascii="Arial" w:hAnsi="Arial" w:eastAsia="Times New Roman" w:cs="Arial"/>
          <w:b/>
          <w:sz w:val="20"/>
          <w:szCs w:val="20"/>
        </w:rPr>
        <w:t>4.8</w:t>
      </w:r>
      <w:r>
        <w:rPr>
          <w:rFonts w:ascii="Arial" w:hAnsi="Arial" w:eastAsia="Times New Roman" w:cs="Arial"/>
          <w:i/>
          <w:sz w:val="20"/>
          <w:szCs w:val="20"/>
        </w:rPr>
        <w:tab/>
      </w:r>
      <w:r>
        <w:rPr>
          <w:rFonts w:ascii="Arial" w:hAnsi="Arial" w:eastAsia="Times New Roman" w:cs="Arial"/>
          <w:b/>
          <w:sz w:val="20"/>
          <w:szCs w:val="20"/>
        </w:rPr>
        <w:t>Severability.</w:t>
      </w:r>
      <w:r>
        <w:rPr>
          <w:rFonts w:ascii="Arial" w:hAnsi="Arial" w:eastAsia="Times New Roman" w:cs="Arial"/>
          <w:sz w:val="20"/>
          <w:szCs w:val="20"/>
        </w:rPr>
        <w:t xml:space="preserve"> Any provision of this Guaranty that is prohibited or unenforceable will be ineffective to the extent of the prohibition or unenforceability without invalidating the remaining provisions of this Guaranty.</w:t>
      </w:r>
    </w:p>
    <w:p w:rsidRPr="003D4184" w:rsidR="003D4184" w:rsidP="003D4184" w:rsidRDefault="003D4184" w14:paraId="1F7A6594" w14:textId="77777777">
      <w:pPr>
        <w:widowControl w:val="0"/>
        <w:tabs>
          <w:tab w:val="left" w:pos="540"/>
          <w:tab w:val="left" w:pos="2188"/>
        </w:tabs>
        <w:autoSpaceDE w:val="0"/>
        <w:autoSpaceDN w:val="0"/>
        <w:adjustRightInd w:val="0"/>
        <w:jc w:val="both"/>
        <w:outlineLvl w:val="1"/>
        <w:rPr>
          <w:rFonts w:ascii="Arial" w:hAnsi="Arial" w:eastAsia="Calibri" w:cs="Arial"/>
          <w:sz w:val="20"/>
          <w:szCs w:val="20"/>
        </w:rPr>
      </w:pPr>
      <w:r>
        <w:rPr>
          <w:rFonts w:ascii="Arial" w:hAnsi="Arial" w:eastAsia="Calibri" w:cs="Arial"/>
          <w:b/>
          <w:sz w:val="20"/>
          <w:szCs w:val="20"/>
        </w:rPr>
        <w:t>4.9</w:t>
      </w:r>
      <w:r>
        <w:rPr>
          <w:rFonts w:ascii="Arial" w:hAnsi="Arial" w:eastAsia="Calibri" w:cs="Arial"/>
          <w:sz w:val="20"/>
          <w:szCs w:val="20"/>
        </w:rPr>
        <w:tab/>
      </w:r>
      <w:r>
        <w:rPr>
          <w:rFonts w:ascii="Arial" w:hAnsi="Arial" w:eastAsia="Calibri" w:cs="Arial"/>
          <w:b/>
          <w:sz w:val="20"/>
          <w:szCs w:val="20"/>
        </w:rPr>
        <w:t>Execution and Attestation.</w:t>
      </w:r>
      <w:r>
        <w:rPr>
          <w:rFonts w:ascii="Arial" w:hAnsi="Arial" w:eastAsia="Calibri" w:cs="Arial"/>
          <w:sz w:val="20"/>
          <w:szCs w:val="20"/>
        </w:rPr>
        <w:t xml:space="preserve"> </w:t>
      </w:r>
    </w:p>
    <w:p w:rsidRPr="003D4184" w:rsidR="003D4184" w:rsidP="003D4184" w:rsidRDefault="003D4184" w14:paraId="35979B89" w14:textId="5EEB8632">
      <w:pPr>
        <w:widowControl w:val="0"/>
        <w:autoSpaceDE w:val="0"/>
        <w:autoSpaceDN w:val="0"/>
        <w:adjustRightInd w:val="0"/>
        <w:ind w:left="270"/>
        <w:jc w:val="both"/>
        <w:outlineLvl w:val="1"/>
        <w:rPr>
          <w:rFonts w:ascii="Arial" w:hAnsi="Arial" w:eastAsia="Calibri" w:cs="Arial"/>
          <w:sz w:val="20"/>
          <w:szCs w:val="20"/>
        </w:rPr>
      </w:pPr>
      <w:r>
        <w:rPr>
          <w:rFonts w:ascii="Arial" w:hAnsi="Arial" w:eastAsia="Calibri" w:cs="Arial"/>
          <w:b/>
          <w:sz w:val="20"/>
          <w:szCs w:val="20"/>
        </w:rPr>
        <w:t xml:space="preserve">4.9.1. Electronic Signature. </w:t>
      </w:r>
      <w:r>
        <w:rPr>
          <w:rFonts w:ascii="Arial" w:hAnsi="Arial" w:eastAsia="Calibri" w:cs="Arial"/>
          <w:sz w:val="20"/>
          <w:szCs w:val="20"/>
        </w:rPr>
        <w:t>This Guaranty may be executed by handwritten signature or Electronic Signature. An “</w:t>
      </w:r>
      <w:r>
        <w:rPr>
          <w:rFonts w:ascii="Arial" w:hAnsi="Arial" w:eastAsia="Calibri" w:cs="Arial"/>
          <w:b/>
          <w:sz w:val="20"/>
          <w:szCs w:val="20"/>
        </w:rPr>
        <w:t>Electronic Signature</w:t>
      </w:r>
      <w:r>
        <w:rPr>
          <w:rFonts w:ascii="Arial" w:hAnsi="Arial" w:eastAsia="Calibri" w:cs="Arial"/>
          <w:sz w:val="20"/>
          <w:szCs w:val="20"/>
        </w:rPr>
        <w:t>” means any electronic sound, symbol, or process attached to or logically associated with a record and executed and adopted by a Person with the intent to sign the record, including facsimile or e-mail </w:t>
      </w:r>
      <w:r>
        <w:rPr>
          <w:rFonts w:ascii="Arial" w:hAnsi="Arial" w:eastAsia="Calibri" w:cs="Arial"/>
          <w:bCs/>
          <w:sz w:val="20"/>
          <w:szCs w:val="20"/>
        </w:rPr>
        <w:t>electronic signatures</w:t>
      </w:r>
      <w:r>
        <w:rPr>
          <w:rFonts w:ascii="Arial" w:hAnsi="Arial" w:eastAsia="Calibri" w:cs="Arial"/>
          <w:sz w:val="20"/>
          <w:szCs w:val="20"/>
        </w:rPr>
        <w:t>. Guarantor acknowledges that electronic records and</w:t>
      </w:r>
      <w:r>
        <w:rPr>
          <w:rFonts w:ascii="Arial" w:hAnsi="Arial" w:eastAsia="Calibri" w:cs="Arial"/>
          <w:b/>
          <w:sz w:val="20"/>
          <w:szCs w:val="20"/>
        </w:rPr>
        <w:t> </w:t>
      </w:r>
      <w:r>
        <w:rPr>
          <w:rFonts w:ascii="Arial" w:hAnsi="Arial" w:eastAsia="Calibri" w:cs="Arial"/>
          <w:bCs/>
          <w:sz w:val="20"/>
          <w:szCs w:val="20"/>
        </w:rPr>
        <w:t>Electronic Signatures</w:t>
      </w:r>
      <w:r>
        <w:rPr>
          <w:rFonts w:ascii="Arial" w:hAnsi="Arial" w:eastAsia="Calibri" w:cs="Arial"/>
          <w:sz w:val="20"/>
          <w:szCs w:val="20"/>
        </w:rPr>
        <w:t xml:space="preserve"> may be used in connection with the execution of this Guaranty and </w:t>
      </w:r>
      <w:r>
        <w:rPr>
          <w:rFonts w:ascii="Arial" w:hAnsi="Arial" w:eastAsia="Calibri" w:cs="Arial"/>
          <w:bCs/>
          <w:sz w:val="20"/>
          <w:szCs w:val="20"/>
        </w:rPr>
        <w:t>Electronic Signatures</w:t>
      </w:r>
      <w:r>
        <w:rPr>
          <w:rFonts w:ascii="Arial" w:hAnsi="Arial" w:eastAsia="Calibri" w:cs="Arial"/>
          <w:sz w:val="20"/>
          <w:szCs w:val="20"/>
        </w:rPr>
        <w:t xml:space="preserve"> transmitted by electronic mail in so-called “.pdf” format will be legal and binding and will have the same full force and effect as if a paper original of this Guaranty had been delivered and signed using a handwritten signature. Guarantor: (i) agrees that an Electronic Signature, whether digital or encrypted, is intended to authenticate this Guaranty and to have the same effect as a handwritten signature; (ii) intends to be bound by the signature (whether original, faxed, or electronic) on any document sent or delivered by facsimile, electronic mail, or other electronic means; (iii) is aware that Beneficiary will rely on the signatures; and (iv) waives any defenses to the enforcement of the terms of this Guaranty based on the forms of signature described in this Section 4.9</w:t>
      </w:r>
      <w:r w:rsidR="00BE2983">
        <w:rPr>
          <w:rFonts w:ascii="Arial" w:hAnsi="Arial" w:eastAsia="Calibri" w:cs="Arial"/>
          <w:sz w:val="20"/>
          <w:szCs w:val="20"/>
        </w:rPr>
        <w:t xml:space="preserve"> (</w:t>
      </w:r>
      <w:r w:rsidRPr="00BE2983" w:rsidR="00BE2983">
        <w:rPr>
          <w:rFonts w:ascii="Arial" w:hAnsi="Arial" w:eastAsia="Calibri" w:cs="Arial"/>
          <w:i/>
          <w:iCs/>
          <w:sz w:val="20"/>
          <w:szCs w:val="20"/>
        </w:rPr>
        <w:t>Execution and Attestation</w:t>
      </w:r>
      <w:r w:rsidR="00BE2983">
        <w:rPr>
          <w:rFonts w:ascii="Arial" w:hAnsi="Arial" w:eastAsia="Calibri" w:cs="Arial"/>
          <w:sz w:val="20"/>
          <w:szCs w:val="20"/>
        </w:rPr>
        <w:t>)</w:t>
      </w:r>
      <w:r>
        <w:rPr>
          <w:rFonts w:ascii="Arial" w:hAnsi="Arial" w:eastAsia="Calibri" w:cs="Arial"/>
          <w:sz w:val="20"/>
          <w:szCs w:val="20"/>
        </w:rPr>
        <w:t>. If Guarantor executes this Guaranty by Electronic Signature, Guarantor expressly consents under the </w:t>
      </w:r>
      <w:r>
        <w:rPr>
          <w:rFonts w:ascii="Arial" w:hAnsi="Arial" w:eastAsia="Calibri" w:cs="Arial"/>
          <w:bCs/>
          <w:sz w:val="20"/>
          <w:szCs w:val="20"/>
        </w:rPr>
        <w:t>Electronic Signatures</w:t>
      </w:r>
      <w:r>
        <w:rPr>
          <w:rFonts w:ascii="Arial" w:hAnsi="Arial" w:eastAsia="Calibri" w:cs="Arial"/>
          <w:sz w:val="20"/>
          <w:szCs w:val="20"/>
        </w:rPr>
        <w:t> in Global and National Commerce Act (“</w:t>
      </w:r>
      <w:r>
        <w:rPr>
          <w:rFonts w:ascii="Arial" w:hAnsi="Arial" w:eastAsia="Calibri" w:cs="Arial"/>
          <w:b/>
          <w:sz w:val="20"/>
          <w:szCs w:val="20"/>
        </w:rPr>
        <w:t>E-SIGN</w:t>
      </w:r>
      <w:r>
        <w:rPr>
          <w:rFonts w:ascii="Arial" w:hAnsi="Arial" w:eastAsia="Calibri" w:cs="Arial"/>
          <w:sz w:val="20"/>
          <w:szCs w:val="20"/>
        </w:rPr>
        <w:t>”), and Uniform Electronic Transactions Act as enacted in the State of Georgia (“</w:t>
      </w:r>
      <w:r>
        <w:rPr>
          <w:rFonts w:ascii="Arial" w:hAnsi="Arial" w:eastAsia="Calibri" w:cs="Arial"/>
          <w:b/>
          <w:sz w:val="20"/>
          <w:szCs w:val="20"/>
        </w:rPr>
        <w:t>UETA</w:t>
      </w:r>
      <w:r>
        <w:rPr>
          <w:rFonts w:ascii="Arial" w:hAnsi="Arial" w:eastAsia="Calibri" w:cs="Arial"/>
          <w:sz w:val="20"/>
          <w:szCs w:val="20"/>
        </w:rPr>
        <w:t>”), that a signature by fax, email, or other electronic means will constitute an Electronic Signature to an Electronic Record under both E-SIGN and UETA regarding this transaction.</w:t>
      </w:r>
    </w:p>
    <w:p w:rsidRPr="00B71D5E" w:rsidR="00B36EC7" w:rsidP="003D4184" w:rsidRDefault="003D4184" w14:paraId="14369629" w14:textId="77777777">
      <w:pPr>
        <w:tabs>
          <w:tab w:val="left" w:pos="2160"/>
        </w:tabs>
        <w:autoSpaceDE w:val="0"/>
        <w:autoSpaceDN w:val="0"/>
        <w:adjustRightInd w:val="0"/>
        <w:spacing w:before="120" w:after="120" w:line="240" w:lineRule="auto"/>
        <w:ind w:left="270"/>
        <w:jc w:val="both"/>
        <w:outlineLvl w:val="5"/>
        <w:rPr>
          <w:rFonts w:ascii="Arial" w:hAnsi="Arial" w:eastAsia="Calibri" w:cs="Arial"/>
          <w:sz w:val="20"/>
          <w:szCs w:val="20"/>
        </w:rPr>
      </w:pPr>
      <w:r>
        <w:rPr>
          <w:rFonts w:ascii="Arial" w:hAnsi="Arial" w:eastAsia="Calibri" w:cs="Arial"/>
          <w:b/>
          <w:sz w:val="20"/>
          <w:szCs w:val="20"/>
        </w:rPr>
        <w:t xml:space="preserve">4.9.2. Digital or Electronic Signature. </w:t>
      </w:r>
      <w:r>
        <w:rPr>
          <w:rFonts w:ascii="Arial" w:hAnsi="Arial" w:eastAsia="Calibri" w:cs="Arial"/>
          <w:sz w:val="20"/>
          <w:szCs w:val="20"/>
        </w:rPr>
        <w:t>In addition to his Guaranty, any other documents to be delivered in connection with this Guaranty may be executed by handwritten signature or Electronic Signature. Guarantor acknowledges that any digital or </w:t>
      </w:r>
      <w:r>
        <w:rPr>
          <w:rFonts w:ascii="Arial" w:hAnsi="Arial" w:eastAsia="Calibri" w:cs="Arial"/>
          <w:bCs/>
          <w:sz w:val="20"/>
          <w:szCs w:val="20"/>
        </w:rPr>
        <w:t>Electronic Signature</w:t>
      </w:r>
      <w:r>
        <w:rPr>
          <w:rFonts w:ascii="Arial" w:hAnsi="Arial" w:eastAsia="Calibri" w:cs="Arial"/>
          <w:sz w:val="20"/>
          <w:szCs w:val="20"/>
        </w:rPr>
        <w:t xml:space="preserve"> (including pdf, facsimile, or electronically imaged signatures provided by </w:t>
      </w:r>
      <w:proofErr w:type="spellStart"/>
      <w:r>
        <w:rPr>
          <w:rFonts w:ascii="Arial" w:hAnsi="Arial" w:eastAsia="Calibri" w:cs="Arial"/>
          <w:sz w:val="20"/>
          <w:szCs w:val="20"/>
        </w:rPr>
        <w:t>DocuSign</w:t>
      </w:r>
      <w:proofErr w:type="spellEnd"/>
      <w:r>
        <w:rPr>
          <w:rFonts w:ascii="Arial" w:hAnsi="Arial" w:eastAsia="Calibri" w:cs="Arial"/>
          <w:sz w:val="20"/>
          <w:szCs w:val="20"/>
        </w:rPr>
        <w:t xml:space="preserve"> or any other digital signature provider) appearing on this Guaranty or other documents to be delivered in connection with this Guaranty are the same as handwritten signatures for the purposes of validity, enforceability, or admissibility, and that delivery to Beneficiary of an Electronic Signature, or a signed copy of, this Guaranty and related documents may be made by facsimile, email, or other electronic transmission.</w:t>
      </w:r>
      <w:bookmarkStart w:name="_DV_M883" w:id="694"/>
      <w:bookmarkStart w:name="_DV_M884" w:id="695"/>
      <w:bookmarkStart w:name="_DV_M885" w:id="696"/>
      <w:bookmarkEnd w:id="614"/>
      <w:bookmarkEnd w:id="694"/>
      <w:bookmarkEnd w:id="695"/>
      <w:bookmarkEnd w:id="696"/>
    </w:p>
    <w:p w:rsidRPr="00B71D5E" w:rsidR="00B36EC7" w:rsidP="003D4184" w:rsidRDefault="00B36EC7" w14:paraId="0D2B7000" w14:textId="77777777">
      <w:pPr>
        <w:spacing w:before="120" w:after="120" w:line="240" w:lineRule="auto"/>
        <w:jc w:val="both"/>
        <w:rPr>
          <w:rFonts w:ascii="Arial" w:hAnsi="Arial" w:eastAsia="Calibri" w:cs="Arial"/>
          <w:sz w:val="20"/>
          <w:szCs w:val="20"/>
        </w:rPr>
      </w:pPr>
      <w:r>
        <w:rPr>
          <w:rFonts w:ascii="Arial" w:hAnsi="Arial" w:eastAsia="Times New Roman" w:cs="Arial"/>
          <w:sz w:val="20"/>
          <w:szCs w:val="20"/>
        </w:rPr>
        <w:t xml:space="preserve">Guarantor has caused this Guaranty to be executed and delivered under seal by its authorized representative as of Effective Date. </w:t>
      </w:r>
    </w:p>
    <w:tbl>
      <w:tblPr>
        <w:tblW w:w="5130" w:type="dxa"/>
        <w:tblLayout w:type="fixed"/>
        <w:tblCellMar>
          <w:left w:w="29" w:type="dxa"/>
          <w:right w:w="29" w:type="dxa"/>
        </w:tblCellMar>
        <w:tblLook w:val="01E0" w:firstRow="1" w:lastRow="1" w:firstColumn="1" w:lastColumn="1" w:noHBand="0" w:noVBand="0"/>
      </w:tblPr>
      <w:tblGrid>
        <w:gridCol w:w="1008"/>
        <w:gridCol w:w="4093"/>
        <w:gridCol w:w="29"/>
      </w:tblGrid>
      <w:tr w:rsidRPr="00B71D5E" w:rsidR="0099446F" w14:paraId="4991F712" w14:textId="77777777">
        <w:trPr>
          <w:cantSplit/>
          <w:trHeight w:val="432"/>
        </w:trPr>
        <w:tc>
          <w:tcPr>
            <w:tcW w:w="5130" w:type="dxa"/>
            <w:gridSpan w:val="3"/>
          </w:tcPr>
          <w:p w:rsidRPr="00B71D5E" w:rsidR="0099446F" w:rsidP="00B71D5E" w:rsidRDefault="0099446F" w14:paraId="56745FF4" w14:textId="77777777">
            <w:pPr>
              <w:keepNext/>
              <w:keepLines/>
              <w:widowControl w:val="0"/>
              <w:autoSpaceDE w:val="0"/>
              <w:autoSpaceDN w:val="0"/>
              <w:adjustRightInd w:val="0"/>
              <w:spacing w:before="120" w:after="120" w:line="240" w:lineRule="auto"/>
              <w:jc w:val="both"/>
              <w:rPr>
                <w:rFonts w:ascii="Arial" w:hAnsi="Arial" w:eastAsia="Yu Mincho" w:cs="Arial"/>
                <w:b/>
                <w:spacing w:val="-6"/>
                <w:kern w:val="14"/>
                <w:sz w:val="20"/>
                <w:szCs w:val="20"/>
              </w:rPr>
            </w:pPr>
            <w:r>
              <w:rPr>
                <w:rFonts w:ascii="Arial" w:hAnsi="Arial" w:eastAsia="Yu Mincho" w:cs="Arial"/>
                <w:b/>
                <w:spacing w:val="-6"/>
                <w:kern w:val="14"/>
                <w:sz w:val="20"/>
                <w:szCs w:val="20"/>
                <w:highlight w:val="yellow"/>
              </w:rPr>
              <w:t>#GuarantorLegalName#</w:t>
            </w:r>
          </w:p>
        </w:tc>
      </w:tr>
      <w:tr w:rsidRPr="00B71D5E" w:rsidR="0099446F" w:rsidTr="00360C3B" w14:paraId="6E181107" w14:textId="77777777">
        <w:trPr>
          <w:gridAfter w:val="1"/>
          <w:wAfter w:w="29" w:type="dxa"/>
          <w:cantSplit/>
          <w:trHeight w:val="504"/>
        </w:trPr>
        <w:tc>
          <w:tcPr>
            <w:tcW w:w="1008" w:type="dxa"/>
            <w:vAlign w:val="bottom"/>
          </w:tcPr>
          <w:p w:rsidRPr="00B71D5E" w:rsidR="0099446F" w:rsidP="00B71D5E" w:rsidRDefault="0099446F" w14:paraId="7FC048CC"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By:</w:t>
            </w:r>
          </w:p>
        </w:tc>
        <w:tc>
          <w:tcPr>
            <w:tcW w:w="4093" w:type="dxa"/>
            <w:tcBorders>
              <w:bottom w:val="single" w:color="auto" w:sz="4" w:space="0"/>
            </w:tcBorders>
            <w:vAlign w:val="bottom"/>
          </w:tcPr>
          <w:p w:rsidRPr="00B71D5E" w:rsidR="0099446F" w:rsidP="00B71D5E" w:rsidRDefault="0099446F" w14:paraId="0EB5C375" w14:textId="77777777">
            <w:pPr>
              <w:keepLines/>
              <w:spacing w:before="120" w:after="120" w:line="240" w:lineRule="auto"/>
              <w:rPr>
                <w:rFonts w:ascii="Arial" w:hAnsi="Arial" w:eastAsia="Calibri" w:cs="Arial"/>
                <w:sz w:val="20"/>
                <w:szCs w:val="20"/>
              </w:rPr>
            </w:pPr>
          </w:p>
        </w:tc>
      </w:tr>
      <w:tr w:rsidRPr="00B71D5E" w:rsidR="0099446F" w:rsidTr="00360C3B" w14:paraId="6A28EB05" w14:textId="77777777">
        <w:trPr>
          <w:gridAfter w:val="1"/>
          <w:wAfter w:w="29" w:type="dxa"/>
          <w:cantSplit/>
          <w:trHeight w:val="504"/>
        </w:trPr>
        <w:tc>
          <w:tcPr>
            <w:tcW w:w="1008" w:type="dxa"/>
            <w:vAlign w:val="bottom"/>
          </w:tcPr>
          <w:p w:rsidRPr="00B71D5E" w:rsidR="0099446F" w:rsidP="00B71D5E" w:rsidRDefault="0099446F" w14:paraId="2C523C38"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Name</w:t>
            </w:r>
          </w:p>
          <w:p w:rsidRPr="00B71D5E" w:rsidR="0099446F" w:rsidP="00B71D5E" w:rsidRDefault="0099446F" w14:paraId="69DD01CA"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Printed:</w:t>
            </w:r>
          </w:p>
        </w:tc>
        <w:tc>
          <w:tcPr>
            <w:tcW w:w="4093" w:type="dxa"/>
            <w:tcBorders>
              <w:top w:val="single" w:color="auto" w:sz="4" w:space="0"/>
              <w:bottom w:val="single" w:color="auto" w:sz="4" w:space="0"/>
            </w:tcBorders>
            <w:vAlign w:val="bottom"/>
          </w:tcPr>
          <w:p w:rsidRPr="00B71D5E" w:rsidR="0099446F" w:rsidP="00B71D5E" w:rsidRDefault="0099446F" w14:paraId="5E9A8D3B" w14:textId="77777777">
            <w:pPr>
              <w:keepLines/>
              <w:spacing w:before="120" w:after="120" w:line="240" w:lineRule="auto"/>
              <w:rPr>
                <w:rFonts w:ascii="Arial" w:hAnsi="Arial" w:eastAsia="Calibri" w:cs="Arial"/>
                <w:sz w:val="20"/>
                <w:szCs w:val="20"/>
              </w:rPr>
            </w:pPr>
          </w:p>
        </w:tc>
      </w:tr>
      <w:tr w:rsidRPr="00B71D5E" w:rsidR="0099446F" w14:paraId="60ADA0FE" w14:textId="77777777">
        <w:trPr>
          <w:gridAfter w:val="1"/>
          <w:wAfter w:w="29" w:type="dxa"/>
          <w:cantSplit/>
          <w:trHeight w:val="504"/>
        </w:trPr>
        <w:tc>
          <w:tcPr>
            <w:tcW w:w="1008" w:type="dxa"/>
            <w:vAlign w:val="bottom"/>
          </w:tcPr>
          <w:p w:rsidRPr="00B71D5E" w:rsidR="0099446F" w:rsidP="00B71D5E" w:rsidRDefault="0099446F" w14:paraId="3ECD0FCF"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Title:</w:t>
            </w:r>
          </w:p>
        </w:tc>
        <w:tc>
          <w:tcPr>
            <w:tcW w:w="4093" w:type="dxa"/>
            <w:tcBorders>
              <w:top w:val="single" w:color="auto" w:sz="4" w:space="0"/>
              <w:bottom w:val="single" w:color="auto" w:sz="4" w:space="0"/>
            </w:tcBorders>
            <w:vAlign w:val="bottom"/>
          </w:tcPr>
          <w:p w:rsidRPr="00B71D5E" w:rsidR="0099446F" w:rsidP="00B71D5E" w:rsidRDefault="0099446F" w14:paraId="5BE44EBD" w14:textId="77777777">
            <w:pPr>
              <w:keepLines/>
              <w:spacing w:before="120" w:after="120" w:line="240" w:lineRule="auto"/>
              <w:rPr>
                <w:rFonts w:ascii="Arial" w:hAnsi="Arial" w:eastAsia="Calibri" w:cs="Arial"/>
                <w:sz w:val="20"/>
                <w:szCs w:val="20"/>
              </w:rPr>
            </w:pPr>
          </w:p>
        </w:tc>
      </w:tr>
      <w:tr w:rsidRPr="00B71D5E" w:rsidR="0099446F" w14:paraId="15584AA1" w14:textId="77777777">
        <w:trPr>
          <w:gridAfter w:val="1"/>
          <w:wAfter w:w="29" w:type="dxa"/>
          <w:cantSplit/>
          <w:trHeight w:val="504"/>
        </w:trPr>
        <w:tc>
          <w:tcPr>
            <w:tcW w:w="1008" w:type="dxa"/>
            <w:vAlign w:val="bottom"/>
          </w:tcPr>
          <w:p w:rsidRPr="00B71D5E" w:rsidR="0099446F" w:rsidP="00B71D5E" w:rsidRDefault="0099446F" w14:paraId="0006258A"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Date:</w:t>
            </w:r>
          </w:p>
        </w:tc>
        <w:tc>
          <w:tcPr>
            <w:tcW w:w="4093" w:type="dxa"/>
            <w:tcBorders>
              <w:top w:val="single" w:color="auto" w:sz="4" w:space="0"/>
              <w:bottom w:val="single" w:color="auto" w:sz="4" w:space="0"/>
            </w:tcBorders>
            <w:vAlign w:val="bottom"/>
          </w:tcPr>
          <w:p w:rsidRPr="00B71D5E" w:rsidR="0099446F" w:rsidP="00B71D5E" w:rsidRDefault="0099446F" w14:paraId="06DADCE1" w14:textId="77777777">
            <w:pPr>
              <w:keepLines/>
              <w:spacing w:before="120" w:after="120" w:line="240" w:lineRule="auto"/>
              <w:rPr>
                <w:rFonts w:ascii="Arial" w:hAnsi="Arial" w:eastAsia="Calibri" w:cs="Arial"/>
                <w:sz w:val="20"/>
                <w:szCs w:val="20"/>
              </w:rPr>
            </w:pPr>
          </w:p>
        </w:tc>
      </w:tr>
    </w:tbl>
    <w:p w:rsidRPr="00B71D5E" w:rsidR="00B36EC7" w:rsidP="00B71D5E" w:rsidRDefault="00B36EC7" w14:paraId="7733CE08" w14:textId="77777777">
      <w:pPr>
        <w:spacing w:before="120" w:after="120" w:line="240" w:lineRule="auto"/>
        <w:rPr>
          <w:rFonts w:ascii="Arial" w:hAnsi="Arial" w:eastAsia="Calibri" w:cs="Arial"/>
          <w:sz w:val="20"/>
          <w:szCs w:val="20"/>
        </w:rPr>
      </w:pPr>
    </w:p>
    <w:p w:rsidRPr="00B71D5E" w:rsidR="00B36EC7" w:rsidP="00B71D5E" w:rsidRDefault="00B36EC7" w14:paraId="197404DC" w14:textId="77777777">
      <w:pPr>
        <w:spacing w:before="120" w:after="120" w:line="240" w:lineRule="auto"/>
        <w:rPr>
          <w:rFonts w:ascii="Arial" w:hAnsi="Arial" w:cs="Arial"/>
          <w:sz w:val="20"/>
          <w:szCs w:val="20"/>
        </w:rPr>
      </w:pPr>
    </w:p>
    <w:p w:rsidRPr="00B71D5E" w:rsidR="00B36EC7" w:rsidP="00B71D5E" w:rsidRDefault="00B36EC7" w14:paraId="12EB283E" w14:textId="77777777">
      <w:pPr>
        <w:spacing w:before="120" w:after="120" w:line="240" w:lineRule="auto"/>
        <w:rPr>
          <w:rFonts w:ascii="Arial" w:hAnsi="Arial" w:cs="Arial"/>
          <w:sz w:val="20"/>
          <w:szCs w:val="20"/>
        </w:rPr>
      </w:pPr>
    </w:p>
    <w:p w:rsidRPr="00B71D5E" w:rsidR="00B36EC7" w:rsidP="00B71D5E" w:rsidRDefault="00B36EC7" w14:paraId="62738E77" w14:textId="77777777">
      <w:pPr>
        <w:spacing w:before="120" w:after="120" w:line="240" w:lineRule="auto"/>
        <w:rPr>
          <w:rFonts w:ascii="Arial" w:hAnsi="Arial" w:cs="Arial"/>
          <w:sz w:val="20"/>
          <w:szCs w:val="20"/>
        </w:rPr>
      </w:pPr>
      <w:r>
        <w:rPr>
          <w:rFonts w:ascii="Arial" w:hAnsi="Arial" w:cs="Arial"/>
          <w:sz w:val="20"/>
          <w:szCs w:val="20"/>
        </w:rPr>
        <w:br w:type="page"/>
      </w:r>
    </w:p>
    <w:p w:rsidRPr="00B71D5E" w:rsidR="00B36EC7" w:rsidP="00B71D5E" w:rsidRDefault="00B36EC7" w14:paraId="062D5110" w14:textId="77777777">
      <w:pPr>
        <w:pStyle w:val="zGTitleExhibit"/>
        <w:rPr>
          <w:rFonts w:cs="Arial"/>
        </w:rPr>
      </w:pPr>
      <w:bookmarkStart w:name="_Toc181639516" w:id="697"/>
      <w:bookmarkStart w:name="_Toc214644836" w:id="698"/>
      <w:r>
        <w:rPr>
          <w:rFonts w:cs="Arial"/>
        </w:rPr>
        <w:lastRenderedPageBreak/>
        <w:t>Exhibit D – Form of Bill of Sale Agreement</w:t>
      </w:r>
      <w:bookmarkEnd w:id="697"/>
      <w:bookmarkEnd w:id="698"/>
    </w:p>
    <w:p w:rsidRPr="00B71D5E" w:rsidR="00B36EC7" w:rsidP="00A00982" w:rsidRDefault="00B36EC7" w14:paraId="138B8086" w14:textId="694B0DDF">
      <w:pPr>
        <w:spacing w:before="120" w:after="120" w:line="240" w:lineRule="auto"/>
        <w:jc w:val="both"/>
        <w:rPr>
          <w:rFonts w:ascii="Arial" w:hAnsi="Arial" w:cs="Arial"/>
          <w:sz w:val="20"/>
          <w:szCs w:val="20"/>
        </w:rPr>
      </w:pPr>
      <w:r>
        <w:rPr>
          <w:rFonts w:ascii="Arial" w:hAnsi="Arial" w:cs="Arial"/>
          <w:sz w:val="20"/>
          <w:szCs w:val="20"/>
        </w:rPr>
        <w:t>This</w:t>
      </w:r>
      <w:r>
        <w:rPr>
          <w:rFonts w:ascii="Arial" w:hAnsi="Arial" w:cs="Arial"/>
          <w:b/>
          <w:bCs/>
          <w:sz w:val="20"/>
          <w:szCs w:val="20"/>
        </w:rPr>
        <w:t xml:space="preserve"> Bill of Sale Agreement</w:t>
      </w:r>
      <w:r>
        <w:rPr>
          <w:rFonts w:ascii="Arial" w:hAnsi="Arial" w:cs="Arial"/>
          <w:sz w:val="20"/>
          <w:szCs w:val="20"/>
        </w:rPr>
        <w:t xml:space="preserve"> (“</w:t>
      </w:r>
      <w:r>
        <w:rPr>
          <w:rFonts w:ascii="Arial" w:hAnsi="Arial" w:cs="Arial"/>
          <w:b/>
          <w:bCs/>
          <w:sz w:val="20"/>
          <w:szCs w:val="20"/>
        </w:rPr>
        <w:t>Agreement</w:t>
      </w:r>
      <w:r>
        <w:rPr>
          <w:rFonts w:ascii="Arial" w:hAnsi="Arial" w:cs="Arial"/>
          <w:sz w:val="20"/>
          <w:szCs w:val="20"/>
        </w:rPr>
        <w:t>”), dated as of ___________, 20__ (“</w:t>
      </w:r>
      <w:r>
        <w:rPr>
          <w:rFonts w:ascii="Arial" w:hAnsi="Arial" w:cs="Arial"/>
          <w:b/>
          <w:sz w:val="20"/>
          <w:szCs w:val="20"/>
        </w:rPr>
        <w:t>Closing Date</w:t>
      </w:r>
      <w:r>
        <w:rPr>
          <w:rFonts w:ascii="Arial" w:hAnsi="Arial" w:cs="Arial"/>
          <w:sz w:val="20"/>
          <w:szCs w:val="20"/>
        </w:rPr>
        <w:t xml:space="preserve">”) is entered into by </w:t>
      </w:r>
      <w:r>
        <w:rPr>
          <w:rFonts w:ascii="Arial" w:hAnsi="Arial" w:cs="Arial"/>
          <w:b/>
          <w:sz w:val="20"/>
          <w:szCs w:val="20"/>
          <w:highlight w:val="yellow"/>
        </w:rPr>
        <w:t>#AssignorLegalName#</w:t>
      </w:r>
      <w:r>
        <w:rPr>
          <w:rFonts w:ascii="Arial" w:hAnsi="Arial" w:cs="Arial"/>
          <w:sz w:val="20"/>
          <w:szCs w:val="20"/>
        </w:rPr>
        <w:t>, #</w:t>
      </w:r>
      <w:r>
        <w:rPr>
          <w:rFonts w:ascii="Arial" w:hAnsi="Arial" w:cs="Arial"/>
          <w:color w:val="000000"/>
          <w:sz w:val="20"/>
          <w:szCs w:val="20"/>
          <w:highlight w:val="yellow"/>
        </w:rPr>
        <w:t>a</w:t>
      </w:r>
      <w:r>
        <w:rPr>
          <w:rFonts w:ascii="Arial" w:hAnsi="Arial" w:cs="Arial"/>
          <w:color w:val="000000"/>
          <w:sz w:val="20"/>
          <w:szCs w:val="20"/>
        </w:rPr>
        <w:t>/</w:t>
      </w:r>
      <w:r>
        <w:rPr>
          <w:rFonts w:ascii="Arial" w:hAnsi="Arial" w:cs="Arial"/>
          <w:color w:val="000000"/>
          <w:sz w:val="20"/>
          <w:szCs w:val="20"/>
          <w:highlight w:val="yellow"/>
        </w:rPr>
        <w:t>an#</w:t>
      </w:r>
      <w:r>
        <w:rPr>
          <w:rFonts w:ascii="Arial" w:hAnsi="Arial" w:cs="Arial"/>
          <w:sz w:val="20"/>
          <w:szCs w:val="20"/>
        </w:rPr>
        <w:t xml:space="preserve"> </w:t>
      </w:r>
      <w:r>
        <w:rPr>
          <w:rFonts w:ascii="Arial" w:hAnsi="Arial" w:cs="Arial"/>
          <w:sz w:val="20"/>
          <w:szCs w:val="20"/>
          <w:highlight w:val="yellow"/>
        </w:rPr>
        <w:t>#OrgState#</w:t>
      </w:r>
      <w:r>
        <w:rPr>
          <w:rFonts w:ascii="Arial" w:hAnsi="Arial" w:cs="Arial"/>
          <w:sz w:val="20"/>
          <w:szCs w:val="20"/>
        </w:rPr>
        <w:t xml:space="preserve"> </w:t>
      </w:r>
      <w:r>
        <w:rPr>
          <w:rFonts w:ascii="Arial" w:hAnsi="Arial" w:cs="Arial"/>
          <w:sz w:val="20"/>
          <w:szCs w:val="20"/>
          <w:highlight w:val="yellow"/>
        </w:rPr>
        <w:t>#limited liability company#</w:t>
      </w:r>
      <w:r>
        <w:rPr>
          <w:rFonts w:ascii="Arial" w:hAnsi="Arial" w:cs="Arial"/>
          <w:sz w:val="20"/>
          <w:szCs w:val="20"/>
        </w:rPr>
        <w:t xml:space="preserve"> </w:t>
      </w:r>
      <w:r>
        <w:rPr>
          <w:rFonts w:ascii="Arial" w:hAnsi="Arial" w:cs="Arial"/>
          <w:b/>
          <w:i/>
          <w:iCs/>
          <w:color w:val="FF0000"/>
          <w:sz w:val="20"/>
          <w:szCs w:val="20"/>
          <w:highlight w:val="cyan"/>
          <w:u w:val="single"/>
        </w:rPr>
        <w:t>OR</w:t>
      </w:r>
      <w:r>
        <w:rPr>
          <w:rFonts w:ascii="Arial" w:hAnsi="Arial" w:cs="Arial"/>
          <w:b/>
          <w:i/>
          <w:sz w:val="20"/>
          <w:szCs w:val="20"/>
        </w:rPr>
        <w:t xml:space="preserve"> </w:t>
      </w:r>
      <w:r>
        <w:rPr>
          <w:rFonts w:ascii="Arial" w:hAnsi="Arial" w:cs="Arial"/>
          <w:sz w:val="20"/>
          <w:szCs w:val="20"/>
          <w:highlight w:val="yellow"/>
        </w:rPr>
        <w:t>#OtherOrgStructure#</w:t>
      </w:r>
      <w:r>
        <w:rPr>
          <w:rFonts w:ascii="Arial" w:hAnsi="Arial" w:cs="Arial"/>
          <w:sz w:val="20"/>
          <w:szCs w:val="20"/>
        </w:rPr>
        <w:t xml:space="preserve"> (“</w:t>
      </w:r>
      <w:r>
        <w:rPr>
          <w:rFonts w:ascii="Arial" w:hAnsi="Arial" w:cs="Arial"/>
          <w:b/>
          <w:bCs/>
          <w:sz w:val="20"/>
          <w:szCs w:val="20"/>
        </w:rPr>
        <w:t>Assignor</w:t>
      </w:r>
      <w:r>
        <w:rPr>
          <w:rFonts w:ascii="Arial" w:hAnsi="Arial" w:cs="Arial"/>
          <w:sz w:val="20"/>
          <w:szCs w:val="20"/>
        </w:rPr>
        <w:t xml:space="preserve">”) and </w:t>
      </w:r>
      <w:r>
        <w:rPr>
          <w:rFonts w:ascii="Arial" w:hAnsi="Arial" w:eastAsia="PMingLiU" w:cs="Arial"/>
          <w:sz w:val="20"/>
          <w:szCs w:val="20"/>
        </w:rPr>
        <w:t xml:space="preserve">Georgia Power Company, a Georgia corporation </w:t>
      </w:r>
      <w:r>
        <w:rPr>
          <w:rFonts w:ascii="Arial" w:hAnsi="Arial" w:cs="Arial"/>
          <w:sz w:val="20"/>
          <w:szCs w:val="20"/>
        </w:rPr>
        <w:t>(“</w:t>
      </w:r>
      <w:r>
        <w:rPr>
          <w:rFonts w:ascii="Arial" w:hAnsi="Arial" w:cs="Arial"/>
          <w:b/>
          <w:sz w:val="20"/>
          <w:szCs w:val="20"/>
        </w:rPr>
        <w:t>GPC</w:t>
      </w:r>
      <w:r>
        <w:rPr>
          <w:rFonts w:ascii="Arial" w:hAnsi="Arial" w:cs="Arial"/>
          <w:sz w:val="20"/>
          <w:szCs w:val="20"/>
        </w:rPr>
        <w:t xml:space="preserve">”). Assignor and GPC are each sometimes referred to in this Agreement individually </w:t>
      </w:r>
      <w:r>
        <w:rPr>
          <w:rFonts w:ascii="Arial" w:hAnsi="Arial" w:cs="Arial"/>
          <w:color w:val="151210"/>
          <w:sz w:val="20"/>
          <w:szCs w:val="20"/>
        </w:rPr>
        <w:t xml:space="preserve">as </w:t>
      </w:r>
      <w:r>
        <w:rPr>
          <w:rFonts w:ascii="Arial" w:hAnsi="Arial" w:cs="Arial"/>
          <w:color w:val="040404"/>
          <w:sz w:val="20"/>
          <w:szCs w:val="20"/>
        </w:rPr>
        <w:t>a “</w:t>
      </w:r>
      <w:r>
        <w:rPr>
          <w:rFonts w:ascii="Arial" w:hAnsi="Arial" w:cs="Arial"/>
          <w:b/>
          <w:sz w:val="20"/>
          <w:szCs w:val="20"/>
        </w:rPr>
        <w:t>Party</w:t>
      </w:r>
      <w:r>
        <w:rPr>
          <w:rFonts w:ascii="Arial" w:hAnsi="Arial" w:cs="Arial"/>
          <w:color w:val="040404"/>
          <w:sz w:val="20"/>
          <w:szCs w:val="20"/>
        </w:rPr>
        <w:t xml:space="preserve">” and collectively as the </w:t>
      </w:r>
      <w:r>
        <w:rPr>
          <w:rFonts w:ascii="Arial" w:hAnsi="Arial" w:cs="Arial"/>
          <w:color w:val="151210"/>
          <w:sz w:val="20"/>
          <w:szCs w:val="20"/>
        </w:rPr>
        <w:t>“</w:t>
      </w:r>
      <w:r>
        <w:rPr>
          <w:rFonts w:ascii="Arial" w:hAnsi="Arial" w:cs="Arial"/>
          <w:b/>
          <w:sz w:val="20"/>
          <w:szCs w:val="20"/>
        </w:rPr>
        <w:t>Parties</w:t>
      </w:r>
      <w:r>
        <w:rPr>
          <w:rFonts w:ascii="Arial" w:hAnsi="Arial" w:cs="Arial"/>
          <w:sz w:val="20"/>
          <w:szCs w:val="20"/>
        </w:rPr>
        <w:t>.” Assignor and GPC acknowledge as follows:</w:t>
      </w:r>
    </w:p>
    <w:p w:rsidRPr="00B71D5E" w:rsidR="00B36EC7" w:rsidP="00EC532C" w:rsidRDefault="00B36EC7" w14:paraId="69CE4083" w14:textId="592A7753">
      <w:pPr>
        <w:pStyle w:val="ListParagraph"/>
        <w:numPr>
          <w:ilvl w:val="0"/>
          <w:numId w:val="14"/>
        </w:numPr>
        <w:spacing w:before="120" w:after="120"/>
        <w:rPr>
          <w:rFonts w:ascii="Arial" w:hAnsi="Arial" w:cs="Arial"/>
          <w:sz w:val="20"/>
          <w:szCs w:val="20"/>
        </w:rPr>
      </w:pPr>
      <w:r>
        <w:rPr>
          <w:rFonts w:ascii="Arial" w:hAnsi="Arial" w:cs="Arial"/>
          <w:sz w:val="20"/>
          <w:szCs w:val="20"/>
        </w:rPr>
        <w:t xml:space="preserve">The Parties have entered into an </w:t>
      </w:r>
      <w:r>
        <w:rPr>
          <w:rFonts w:ascii="Arial" w:hAnsi="Arial" w:cs="Arial"/>
          <w:b/>
          <w:bCs/>
          <w:sz w:val="20"/>
          <w:szCs w:val="20"/>
        </w:rPr>
        <w:t xml:space="preserve">Asset Purchase </w:t>
      </w:r>
      <w:r>
        <w:rPr>
          <w:rFonts w:ascii="Arial" w:hAnsi="Arial" w:eastAsia="Calibri" w:cs="Arial"/>
          <w:b/>
          <w:bCs/>
          <w:sz w:val="20"/>
          <w:szCs w:val="20"/>
        </w:rPr>
        <w:t>Agreement for</w:t>
      </w:r>
      <w:r w:rsidR="005C24B3">
        <w:rPr>
          <w:rFonts w:ascii="Arial" w:hAnsi="Arial" w:eastAsia="Calibri" w:cs="Arial"/>
          <w:b/>
          <w:bCs/>
          <w:sz w:val="20"/>
          <w:szCs w:val="20"/>
        </w:rPr>
        <w:t xml:space="preserve"> 2026 All-Source Capacity Request for Proposals </w:t>
      </w:r>
      <w:r w:rsidR="000F08EC">
        <w:rPr>
          <w:rFonts w:ascii="Arial" w:hAnsi="Arial" w:eastAsia="Calibri" w:cs="Arial"/>
          <w:b/>
          <w:bCs/>
          <w:sz w:val="20"/>
          <w:szCs w:val="20"/>
        </w:rPr>
        <w:t>for Need Years</w:t>
      </w:r>
      <w:r>
        <w:rPr>
          <w:rFonts w:ascii="Arial" w:hAnsi="Arial" w:eastAsia="Calibri" w:cs="Arial"/>
          <w:b/>
          <w:bCs/>
          <w:sz w:val="20"/>
          <w:szCs w:val="20"/>
        </w:rPr>
        <w:t xml:space="preserve"> 2032</w:t>
      </w:r>
      <w:r w:rsidR="004470A1">
        <w:rPr>
          <w:rFonts w:ascii="Arial" w:hAnsi="Arial" w:cs="Arial"/>
          <w:sz w:val="16"/>
          <w:szCs w:val="16"/>
        </w:rPr>
        <w:t>–</w:t>
      </w:r>
      <w:r>
        <w:rPr>
          <w:rFonts w:ascii="Arial" w:hAnsi="Arial" w:eastAsia="Calibri" w:cs="Arial"/>
          <w:b/>
          <w:bCs/>
          <w:sz w:val="20"/>
          <w:szCs w:val="20"/>
        </w:rPr>
        <w:t xml:space="preserve">2033 at </w:t>
      </w:r>
      <w:r>
        <w:rPr>
          <w:rFonts w:ascii="Arial" w:hAnsi="Arial" w:eastAsia="Calibri" w:cs="Arial"/>
          <w:b/>
          <w:bCs/>
          <w:sz w:val="20"/>
          <w:szCs w:val="20"/>
          <w:highlight w:val="yellow"/>
        </w:rPr>
        <w:t>#FacilityName#</w:t>
      </w:r>
      <w:r>
        <w:rPr>
          <w:rFonts w:ascii="Arial" w:hAnsi="Arial" w:eastAsia="Calibri" w:cs="Arial"/>
          <w:b/>
          <w:bCs/>
          <w:sz w:val="20"/>
          <w:szCs w:val="20"/>
        </w:rPr>
        <w:t xml:space="preserve"> </w:t>
      </w:r>
      <w:r>
        <w:rPr>
          <w:rFonts w:ascii="Arial" w:hAnsi="Arial" w:cs="Arial"/>
          <w:sz w:val="20"/>
          <w:szCs w:val="20"/>
        </w:rPr>
        <w:t>(“</w:t>
      </w:r>
      <w:r>
        <w:rPr>
          <w:rFonts w:ascii="Arial" w:hAnsi="Arial" w:cs="Arial"/>
          <w:b/>
          <w:bCs/>
          <w:sz w:val="20"/>
          <w:szCs w:val="20"/>
        </w:rPr>
        <w:t>APA</w:t>
      </w:r>
      <w:r>
        <w:rPr>
          <w:rFonts w:ascii="Arial" w:hAnsi="Arial" w:cs="Arial"/>
          <w:sz w:val="20"/>
          <w:szCs w:val="20"/>
        </w:rPr>
        <w:t xml:space="preserve">”), where Assignor will sell, convey, transfer, assign, and deliver to GPC all of Assignor’s right, title, and interest in and to the </w:t>
      </w:r>
      <w:r w:rsidR="00A04F82">
        <w:rPr>
          <w:rFonts w:ascii="Arial" w:hAnsi="Arial" w:cs="Arial"/>
          <w:sz w:val="20"/>
          <w:szCs w:val="20"/>
        </w:rPr>
        <w:t>Facility</w:t>
      </w:r>
      <w:r>
        <w:rPr>
          <w:rFonts w:ascii="Arial" w:hAnsi="Arial" w:cs="Arial"/>
          <w:sz w:val="20"/>
          <w:szCs w:val="20"/>
        </w:rPr>
        <w:t xml:space="preserve"> Assets, and GPC has agreed to purchase from Assignor the same; and</w:t>
      </w:r>
    </w:p>
    <w:p w:rsidRPr="00B71D5E" w:rsidR="00B36EC7" w:rsidP="00B71D5E" w:rsidRDefault="00B36EC7" w14:paraId="288DC565" w14:textId="77777777">
      <w:pPr>
        <w:pStyle w:val="ListParagraph"/>
        <w:spacing w:before="120" w:after="120"/>
        <w:rPr>
          <w:rFonts w:ascii="Arial" w:hAnsi="Arial" w:cs="Arial"/>
          <w:sz w:val="20"/>
          <w:szCs w:val="20"/>
        </w:rPr>
      </w:pPr>
    </w:p>
    <w:p w:rsidRPr="00B71D5E" w:rsidR="00B36EC7" w:rsidP="00EC532C" w:rsidRDefault="00B36EC7" w14:paraId="61DA8B6E" w14:textId="77777777">
      <w:pPr>
        <w:pStyle w:val="BodyText"/>
        <w:numPr>
          <w:ilvl w:val="0"/>
          <w:numId w:val="12"/>
        </w:numPr>
        <w:spacing w:before="120" w:line="240" w:lineRule="auto"/>
        <w:jc w:val="both"/>
        <w:rPr>
          <w:rFonts w:ascii="Arial" w:hAnsi="Arial" w:cs="Arial"/>
          <w:sz w:val="20"/>
          <w:szCs w:val="20"/>
        </w:rPr>
      </w:pPr>
      <w:r>
        <w:rPr>
          <w:rFonts w:ascii="Arial" w:hAnsi="Arial" w:cs="Arial"/>
          <w:sz w:val="20"/>
          <w:szCs w:val="20"/>
        </w:rPr>
        <w:t>The Parties are executing and delivering this Agreement to evidence the sale, conveyance, transfer, assignment, and delivery to GPC of the Facility Assets effective as of the Closing Date.</w:t>
      </w:r>
    </w:p>
    <w:p w:rsidRPr="00B71D5E" w:rsidR="00B36EC7" w:rsidP="00A35812" w:rsidRDefault="00B36EC7" w14:paraId="1823EFB4" w14:textId="77777777">
      <w:pPr>
        <w:pStyle w:val="BodyText"/>
        <w:spacing w:before="120" w:line="240" w:lineRule="auto"/>
        <w:jc w:val="both"/>
        <w:rPr>
          <w:rFonts w:ascii="Arial" w:hAnsi="Arial" w:cs="Arial"/>
          <w:sz w:val="20"/>
          <w:szCs w:val="20"/>
        </w:rPr>
      </w:pPr>
      <w:r>
        <w:rPr>
          <w:rFonts w:ascii="Arial" w:hAnsi="Arial" w:cs="Arial"/>
          <w:sz w:val="20"/>
          <w:szCs w:val="20"/>
        </w:rPr>
        <w:t xml:space="preserve">To induce GPC to </w:t>
      </w:r>
      <w:proofErr w:type="gramStart"/>
      <w:r>
        <w:rPr>
          <w:rFonts w:ascii="Arial" w:hAnsi="Arial" w:cs="Arial"/>
          <w:sz w:val="20"/>
          <w:szCs w:val="20"/>
        </w:rPr>
        <w:t>enter into</w:t>
      </w:r>
      <w:proofErr w:type="gramEnd"/>
      <w:r>
        <w:rPr>
          <w:rFonts w:ascii="Arial" w:hAnsi="Arial" w:cs="Arial"/>
          <w:sz w:val="20"/>
          <w:szCs w:val="20"/>
        </w:rPr>
        <w:t xml:space="preserve"> and perform its obligations under the APA, and for </w:t>
      </w:r>
      <w:proofErr w:type="gramStart"/>
      <w:r>
        <w:rPr>
          <w:rFonts w:ascii="Arial" w:hAnsi="Arial" w:cs="Arial"/>
          <w:sz w:val="20"/>
          <w:szCs w:val="20"/>
        </w:rPr>
        <w:t>and in</w:t>
      </w:r>
      <w:proofErr w:type="gramEnd"/>
      <w:r>
        <w:rPr>
          <w:rFonts w:ascii="Arial" w:hAnsi="Arial" w:cs="Arial"/>
          <w:sz w:val="20"/>
          <w:szCs w:val="20"/>
        </w:rPr>
        <w:t xml:space="preserve"> consideration of the foregoing statements, the mutual agreements contained in this Agreement, and other good and valuable consideration, the receipt and sufficiency of which are acknowledged, Assignor and GPC agree as follows:</w:t>
      </w:r>
    </w:p>
    <w:p w:rsidRPr="00B71D5E" w:rsidR="00B36EC7" w:rsidP="00EC532C" w:rsidRDefault="00B36EC7" w14:paraId="35AF7FB8" w14:textId="77777777">
      <w:pPr>
        <w:pStyle w:val="BodyText"/>
        <w:numPr>
          <w:ilvl w:val="0"/>
          <w:numId w:val="13"/>
        </w:numPr>
        <w:spacing w:before="120" w:line="240" w:lineRule="auto"/>
        <w:jc w:val="both"/>
        <w:rPr>
          <w:rFonts w:ascii="Arial" w:hAnsi="Arial" w:cs="Arial"/>
          <w:b/>
          <w:bCs/>
          <w:sz w:val="20"/>
          <w:szCs w:val="20"/>
        </w:rPr>
      </w:pPr>
      <w:r>
        <w:rPr>
          <w:rFonts w:ascii="Arial" w:hAnsi="Arial" w:cs="Arial"/>
          <w:b/>
          <w:bCs/>
          <w:sz w:val="20"/>
          <w:szCs w:val="20"/>
        </w:rPr>
        <w:t>DEFINITIONS</w:t>
      </w:r>
    </w:p>
    <w:p w:rsidRPr="00B71D5E" w:rsidR="00B36EC7" w:rsidP="00EC532C" w:rsidRDefault="00B36EC7" w14:paraId="28C37995"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Definitions.</w:t>
      </w:r>
    </w:p>
    <w:p w:rsidRPr="00B71D5E" w:rsidR="00B36EC7" w:rsidP="00B71D5E" w:rsidRDefault="00B36EC7" w14:paraId="6E1C0465" w14:textId="77777777">
      <w:pPr>
        <w:pStyle w:val="BodyText"/>
        <w:spacing w:before="120" w:line="240" w:lineRule="auto"/>
        <w:rPr>
          <w:rFonts w:ascii="Arial" w:hAnsi="Arial" w:cs="Arial"/>
          <w:b/>
          <w:bCs/>
          <w:sz w:val="20"/>
          <w:szCs w:val="20"/>
        </w:rPr>
      </w:pPr>
      <w:r>
        <w:rPr>
          <w:rFonts w:ascii="Arial" w:hAnsi="Arial" w:cs="Arial"/>
          <w:sz w:val="20"/>
          <w:szCs w:val="20"/>
        </w:rPr>
        <w:t xml:space="preserve"> Unless otherwise defined in this Agreement, capitalized terms have the meanings specified or referred to in the APA.</w:t>
      </w:r>
    </w:p>
    <w:p w:rsidRPr="00B71D5E" w:rsidR="00B36EC7" w:rsidP="00EC532C" w:rsidRDefault="00B36EC7" w14:paraId="43E18A88" w14:textId="77777777">
      <w:pPr>
        <w:pStyle w:val="BodyText"/>
        <w:numPr>
          <w:ilvl w:val="0"/>
          <w:numId w:val="13"/>
        </w:numPr>
        <w:spacing w:before="120" w:line="240" w:lineRule="auto"/>
        <w:jc w:val="both"/>
        <w:rPr>
          <w:rFonts w:ascii="Arial" w:hAnsi="Arial" w:cs="Arial"/>
          <w:b/>
          <w:bCs/>
          <w:sz w:val="20"/>
          <w:szCs w:val="20"/>
        </w:rPr>
      </w:pPr>
      <w:proofErr w:type="gramStart"/>
      <w:r>
        <w:rPr>
          <w:rFonts w:ascii="Arial" w:hAnsi="Arial" w:cs="Arial"/>
          <w:b/>
          <w:bCs/>
          <w:sz w:val="20"/>
          <w:szCs w:val="20"/>
        </w:rPr>
        <w:t>SALE</w:t>
      </w:r>
      <w:proofErr w:type="gramEnd"/>
      <w:r>
        <w:rPr>
          <w:rFonts w:ascii="Arial" w:hAnsi="Arial" w:cs="Arial"/>
          <w:b/>
          <w:bCs/>
          <w:sz w:val="20"/>
          <w:szCs w:val="20"/>
        </w:rPr>
        <w:t>, TRANSFER, AND ASSIGNMENT</w:t>
      </w:r>
    </w:p>
    <w:p w:rsidRPr="00B71D5E" w:rsidR="00B36EC7" w:rsidP="00EC532C" w:rsidRDefault="00B36EC7" w14:paraId="3E8C565A" w14:textId="77777777">
      <w:pPr>
        <w:pStyle w:val="BodyText"/>
        <w:numPr>
          <w:ilvl w:val="1"/>
          <w:numId w:val="13"/>
        </w:numPr>
        <w:spacing w:before="120" w:line="240" w:lineRule="auto"/>
        <w:jc w:val="both"/>
        <w:rPr>
          <w:rFonts w:ascii="Arial" w:hAnsi="Arial" w:cs="Arial"/>
          <w:vanish/>
          <w:sz w:val="20"/>
          <w:szCs w:val="20"/>
          <w:specVanish/>
        </w:rPr>
      </w:pPr>
      <w:proofErr w:type="gramStart"/>
      <w:r>
        <w:rPr>
          <w:rFonts w:ascii="Arial" w:hAnsi="Arial" w:cs="Arial"/>
          <w:b/>
          <w:bCs/>
          <w:sz w:val="20"/>
          <w:szCs w:val="20"/>
        </w:rPr>
        <w:t>Sale</w:t>
      </w:r>
      <w:proofErr w:type="gramEnd"/>
      <w:r>
        <w:rPr>
          <w:rFonts w:ascii="Arial" w:hAnsi="Arial" w:cs="Arial"/>
          <w:b/>
          <w:bCs/>
          <w:sz w:val="20"/>
          <w:szCs w:val="20"/>
        </w:rPr>
        <w:t>, Transfer, and Assignment to GPC.</w:t>
      </w:r>
      <w:r>
        <w:rPr>
          <w:rFonts w:ascii="Arial" w:hAnsi="Arial" w:cs="Arial"/>
          <w:sz w:val="20"/>
          <w:szCs w:val="20"/>
        </w:rPr>
        <w:t xml:space="preserve"> </w:t>
      </w:r>
    </w:p>
    <w:p w:rsidRPr="00B71D5E" w:rsidR="00B36EC7" w:rsidP="00B71D5E" w:rsidRDefault="00B36EC7" w14:paraId="28D99775" w14:textId="77777777">
      <w:pPr>
        <w:pStyle w:val="BodyText"/>
        <w:spacing w:before="120" w:line="240" w:lineRule="auto"/>
        <w:rPr>
          <w:rFonts w:ascii="Arial" w:hAnsi="Arial" w:cs="Arial"/>
          <w:sz w:val="20"/>
          <w:szCs w:val="20"/>
        </w:rPr>
      </w:pPr>
      <w:r>
        <w:rPr>
          <w:rFonts w:ascii="Arial" w:hAnsi="Arial" w:cs="Arial"/>
          <w:sz w:val="20"/>
          <w:szCs w:val="20"/>
        </w:rPr>
        <w:t xml:space="preserve"> Effective as of the Closing Date, and subject to the terms and conditions contained in the APA, Assignor sells, conveys, transfers, assigns, and delivers to </w:t>
      </w:r>
      <w:r>
        <w:rPr>
          <w:rFonts w:ascii="Arial" w:hAnsi="Arial" w:cs="Arial"/>
          <w:bCs/>
          <w:sz w:val="20"/>
          <w:szCs w:val="20"/>
        </w:rPr>
        <w:t>GPC</w:t>
      </w:r>
      <w:r>
        <w:rPr>
          <w:rFonts w:ascii="Arial" w:hAnsi="Arial" w:cs="Arial"/>
          <w:b/>
          <w:sz w:val="20"/>
          <w:szCs w:val="20"/>
        </w:rPr>
        <w:t xml:space="preserve">, </w:t>
      </w:r>
      <w:r>
        <w:rPr>
          <w:rFonts w:ascii="Arial" w:hAnsi="Arial" w:cs="Arial"/>
          <w:sz w:val="20"/>
          <w:szCs w:val="20"/>
        </w:rPr>
        <w:t xml:space="preserve"> and </w:t>
      </w:r>
      <w:r>
        <w:rPr>
          <w:rFonts w:ascii="Arial" w:hAnsi="Arial" w:cs="Arial"/>
          <w:bCs/>
          <w:sz w:val="20"/>
          <w:szCs w:val="20"/>
        </w:rPr>
        <w:t>GPC</w:t>
      </w:r>
      <w:r>
        <w:rPr>
          <w:rFonts w:ascii="Arial" w:hAnsi="Arial" w:cs="Arial"/>
          <w:b/>
          <w:sz w:val="20"/>
          <w:szCs w:val="20"/>
        </w:rPr>
        <w:t xml:space="preserve"> </w:t>
      </w:r>
      <w:r>
        <w:rPr>
          <w:rFonts w:ascii="Arial" w:hAnsi="Arial" w:cs="Arial"/>
          <w:sz w:val="20"/>
          <w:szCs w:val="20"/>
        </w:rPr>
        <w:t>purchases and accepts, all of Assignor’s right, title and interest in and to the Facility Assets, free and clear of all Liens other than Permitted Liens, and GPC purchases all of Assignor’s right, title, and interest in and to all of the Facility Assets as set forth in the APA.</w:t>
      </w:r>
    </w:p>
    <w:p w:rsidRPr="00B71D5E" w:rsidR="00B36EC7" w:rsidP="00EC532C" w:rsidRDefault="00B36EC7" w14:paraId="3E943866"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 xml:space="preserve">No Further Rights of Assignor. </w:t>
      </w:r>
    </w:p>
    <w:p w:rsidRPr="00B71D5E" w:rsidR="00B36EC7" w:rsidP="00B71D5E" w:rsidRDefault="00B36EC7" w14:paraId="5744732D" w14:textId="30718838">
      <w:pPr>
        <w:pStyle w:val="BodyText"/>
        <w:spacing w:before="120" w:line="240" w:lineRule="auto"/>
        <w:rPr>
          <w:rFonts w:ascii="Arial" w:hAnsi="Arial" w:cs="Arial"/>
          <w:sz w:val="20"/>
          <w:szCs w:val="20"/>
        </w:rPr>
      </w:pPr>
      <w:r>
        <w:rPr>
          <w:rFonts w:ascii="Arial" w:hAnsi="Arial" w:cs="Arial"/>
          <w:sz w:val="20"/>
          <w:szCs w:val="20"/>
        </w:rPr>
        <w:t xml:space="preserve"> From and after the date of this Agreement, Assignor will have no further right, title, or interest in and to the </w:t>
      </w:r>
      <w:r w:rsidR="00A04F82">
        <w:rPr>
          <w:rFonts w:ascii="Arial" w:hAnsi="Arial" w:cs="Arial"/>
          <w:sz w:val="20"/>
          <w:szCs w:val="20"/>
        </w:rPr>
        <w:t>Facility</w:t>
      </w:r>
      <w:r>
        <w:rPr>
          <w:rFonts w:ascii="Arial" w:hAnsi="Arial" w:cs="Arial"/>
          <w:sz w:val="20"/>
          <w:szCs w:val="20"/>
        </w:rPr>
        <w:t xml:space="preserve"> Assets, and GPC will be entitled to exercise all rights, powers, and privileges with respect to the </w:t>
      </w:r>
      <w:r w:rsidR="00A04F82">
        <w:rPr>
          <w:rFonts w:ascii="Arial" w:hAnsi="Arial" w:cs="Arial"/>
          <w:sz w:val="20"/>
          <w:szCs w:val="20"/>
        </w:rPr>
        <w:t>Facility</w:t>
      </w:r>
      <w:r>
        <w:rPr>
          <w:rFonts w:ascii="Arial" w:hAnsi="Arial" w:cs="Arial"/>
          <w:sz w:val="20"/>
          <w:szCs w:val="20"/>
        </w:rPr>
        <w:t xml:space="preserve"> Assets. Without limiting the generality of the foregoing, GPC will succeed to the entire right, title, and interest of Assignor in and to the </w:t>
      </w:r>
      <w:r w:rsidR="00A04F82">
        <w:rPr>
          <w:rFonts w:ascii="Arial" w:hAnsi="Arial" w:cs="Arial"/>
          <w:sz w:val="20"/>
          <w:szCs w:val="20"/>
        </w:rPr>
        <w:t>Facility</w:t>
      </w:r>
      <w:r>
        <w:rPr>
          <w:rFonts w:ascii="Arial" w:hAnsi="Arial" w:cs="Arial"/>
          <w:sz w:val="20"/>
          <w:szCs w:val="20"/>
        </w:rPr>
        <w:t xml:space="preserve"> Assets.</w:t>
      </w:r>
    </w:p>
    <w:p w:rsidRPr="00B71D5E" w:rsidR="00B36EC7" w:rsidP="00EC532C" w:rsidRDefault="00B36EC7" w14:paraId="7803622E"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 xml:space="preserve">Recordation. </w:t>
      </w:r>
    </w:p>
    <w:p w:rsidRPr="00B71D5E" w:rsidR="00B36EC7" w:rsidP="00B71D5E" w:rsidRDefault="00B36EC7" w14:paraId="34DA80F0" w14:textId="77777777">
      <w:pPr>
        <w:pStyle w:val="BodyText"/>
        <w:spacing w:before="120" w:line="240" w:lineRule="auto"/>
        <w:rPr>
          <w:rFonts w:ascii="Arial" w:hAnsi="Arial" w:cs="Arial"/>
          <w:sz w:val="20"/>
          <w:szCs w:val="20"/>
        </w:rPr>
      </w:pPr>
      <w:r>
        <w:rPr>
          <w:rFonts w:ascii="Arial" w:hAnsi="Arial" w:cs="Arial"/>
          <w:sz w:val="20"/>
          <w:szCs w:val="20"/>
        </w:rPr>
        <w:t xml:space="preserve"> Simultaneously with the execution and delivery of this Agreement, the Parties will record a memorandum of assignment publishing notice of the transfer of all Facility Real Property that is being assigned and the Parties to the assignment in the real property records of the county in which the Facility Real Property is located. </w:t>
      </w:r>
    </w:p>
    <w:p w:rsidRPr="00B71D5E" w:rsidR="00B36EC7" w:rsidP="00EC532C" w:rsidRDefault="00B36EC7" w14:paraId="3D914557"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Further Assurances.</w:t>
      </w:r>
    </w:p>
    <w:p w:rsidRPr="00B71D5E" w:rsidR="00B36EC7" w:rsidP="00B71D5E" w:rsidRDefault="00B36EC7" w14:paraId="091DDF65" w14:textId="6E19E123">
      <w:pPr>
        <w:pStyle w:val="BodyText"/>
        <w:spacing w:before="120" w:line="240" w:lineRule="auto"/>
        <w:rPr>
          <w:rFonts w:ascii="Arial" w:hAnsi="Arial" w:cs="Arial"/>
          <w:sz w:val="20"/>
          <w:szCs w:val="20"/>
        </w:rPr>
      </w:pPr>
      <w:r>
        <w:rPr>
          <w:rFonts w:ascii="Arial" w:hAnsi="Arial" w:cs="Arial"/>
          <w:sz w:val="20"/>
          <w:szCs w:val="20"/>
        </w:rPr>
        <w:t xml:space="preserve"> Each Party agrees to do and take, or cause to be done or taken, all further acts, assurances, and things, and to execute, acknowledge, and deliver, or cause to be executed, acknowledged, and delivered, all further instruments and other documents, in each case, as may be reasonably requested by any other Party to better consummate and carry out the intent of this Agreement and give effect to this Agreement. Without limiting the generality of the foregoing, each Party agrees, on the request of any other Party, to execute or re-execute</w:t>
      </w:r>
      <w:proofErr w:type="gramStart"/>
      <w:r>
        <w:rPr>
          <w:rFonts w:ascii="Arial" w:hAnsi="Arial" w:cs="Arial"/>
          <w:sz w:val="20"/>
          <w:szCs w:val="20"/>
        </w:rPr>
        <w:t>, as the case may be, new</w:t>
      </w:r>
      <w:proofErr w:type="gramEnd"/>
      <w:r>
        <w:rPr>
          <w:rFonts w:ascii="Arial" w:hAnsi="Arial" w:cs="Arial"/>
          <w:sz w:val="20"/>
          <w:szCs w:val="20"/>
        </w:rPr>
        <w:t xml:space="preserve"> or additional assignments or memorandums of assignment, in recordable form, with respect to the Facility Assets, including the Facility Real Property.</w:t>
      </w:r>
    </w:p>
    <w:p w:rsidRPr="00B71D5E" w:rsidR="00B36EC7" w:rsidP="00EC532C" w:rsidRDefault="00B36EC7" w14:paraId="5A0FCF6D"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Asset Purchase Agreement.</w:t>
      </w:r>
    </w:p>
    <w:p w:rsidRPr="00B71D5E" w:rsidR="00B36EC7" w:rsidP="00B71D5E" w:rsidRDefault="00B36EC7" w14:paraId="2B95691B"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is executed and delivered and is subject to in all respects the terms and conditions of the APA. GPC acknowledges and agrees that Assignor makes no, and GPC is not relying on any, representation, or warranty with respect to the Facility Assets except as expressly set forth in the APA, and each of the Parties acknowledges and agrees that neither the representations and warranties nor the rights and remedies of the Parties under the APA will be deemed to be enlarged, modified, or altered in any way by this Agreement. To the extent a conflict should arise between this Agreement and the APA, the APA will control.</w:t>
      </w:r>
    </w:p>
    <w:p w:rsidRPr="00B71D5E" w:rsidR="00B36EC7" w:rsidP="00EC532C" w:rsidRDefault="00B36EC7" w14:paraId="1DEE08DA" w14:textId="77777777">
      <w:pPr>
        <w:pStyle w:val="BodyText"/>
        <w:keepNext/>
        <w:keepLines/>
        <w:numPr>
          <w:ilvl w:val="0"/>
          <w:numId w:val="13"/>
        </w:numPr>
        <w:spacing w:before="120" w:line="240" w:lineRule="auto"/>
        <w:jc w:val="both"/>
        <w:rPr>
          <w:rFonts w:ascii="Arial" w:hAnsi="Arial" w:cs="Arial"/>
          <w:b/>
          <w:bCs/>
          <w:sz w:val="20"/>
          <w:szCs w:val="20"/>
        </w:rPr>
      </w:pPr>
      <w:r>
        <w:rPr>
          <w:rFonts w:ascii="Arial" w:hAnsi="Arial" w:cs="Arial"/>
          <w:b/>
          <w:bCs/>
          <w:sz w:val="20"/>
          <w:szCs w:val="20"/>
        </w:rPr>
        <w:t>MISCELLANEOUS</w:t>
      </w:r>
    </w:p>
    <w:p w:rsidRPr="00B71D5E" w:rsidR="00B36EC7" w:rsidP="00EC532C" w:rsidRDefault="00B36EC7" w14:paraId="4FD65714" w14:textId="77777777">
      <w:pPr>
        <w:pStyle w:val="BodyText"/>
        <w:keepNext/>
        <w:keepLines/>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 xml:space="preserve">Governing Law. </w:t>
      </w:r>
    </w:p>
    <w:p w:rsidRPr="00B71D5E" w:rsidR="00B36EC7" w:rsidP="00B71D5E" w:rsidRDefault="00B36EC7" w14:paraId="6CD789D5" w14:textId="77777777">
      <w:pPr>
        <w:pStyle w:val="BodyText"/>
        <w:keepNext/>
        <w:keepLines/>
        <w:spacing w:before="120" w:line="240" w:lineRule="auto"/>
        <w:rPr>
          <w:rFonts w:ascii="Arial" w:hAnsi="Arial" w:cs="Arial"/>
          <w:sz w:val="20"/>
          <w:szCs w:val="20"/>
        </w:rPr>
      </w:pPr>
      <w:r>
        <w:rPr>
          <w:rFonts w:ascii="Arial" w:hAnsi="Arial" w:cs="Arial"/>
          <w:sz w:val="20"/>
          <w:szCs w:val="20"/>
        </w:rPr>
        <w:t xml:space="preserve"> This Agreement will be construed and interpreted, and the rights of the Parties determined, in accordance with the </w:t>
      </w:r>
      <w:r>
        <w:rPr>
          <w:rFonts w:ascii="Arial" w:hAnsi="Arial" w:eastAsia="Times New Roman" w:cs="Arial"/>
          <w:sz w:val="20"/>
          <w:szCs w:val="20"/>
        </w:rPr>
        <w:t>law</w:t>
      </w:r>
      <w:r>
        <w:rPr>
          <w:rFonts w:ascii="Arial" w:hAnsi="Arial" w:cs="Arial"/>
          <w:sz w:val="20"/>
          <w:szCs w:val="20"/>
        </w:rPr>
        <w:t xml:space="preserve">s of the state of Georgia, without giving effect to principles of conflicts of </w:t>
      </w:r>
      <w:r>
        <w:rPr>
          <w:rFonts w:ascii="Arial" w:hAnsi="Arial" w:eastAsia="Times New Roman" w:cs="Arial"/>
          <w:sz w:val="20"/>
          <w:szCs w:val="20"/>
        </w:rPr>
        <w:t>law</w:t>
      </w:r>
      <w:r>
        <w:rPr>
          <w:rFonts w:ascii="Arial" w:hAnsi="Arial" w:cs="Arial"/>
          <w:sz w:val="20"/>
          <w:szCs w:val="20"/>
        </w:rPr>
        <w:t xml:space="preserve"> that would require the application of the </w:t>
      </w:r>
      <w:r>
        <w:rPr>
          <w:rFonts w:ascii="Arial" w:hAnsi="Arial" w:eastAsia="Times New Roman" w:cs="Arial"/>
          <w:sz w:val="20"/>
          <w:szCs w:val="20"/>
        </w:rPr>
        <w:t>law</w:t>
      </w:r>
      <w:r>
        <w:rPr>
          <w:rFonts w:ascii="Arial" w:hAnsi="Arial" w:cs="Arial"/>
          <w:sz w:val="20"/>
          <w:szCs w:val="20"/>
        </w:rPr>
        <w:t>s of another jurisdiction.</w:t>
      </w:r>
    </w:p>
    <w:p w:rsidRPr="00B71D5E" w:rsidR="00B36EC7" w:rsidP="00EC532C" w:rsidRDefault="00B36EC7" w14:paraId="23CF9BFA"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t>Successors and Assigns.</w:t>
      </w:r>
    </w:p>
    <w:p w:rsidRPr="00B71D5E" w:rsidR="00B36EC7" w:rsidP="00B71D5E" w:rsidRDefault="00B36EC7" w14:paraId="6E9F995D"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will be binding upon, inure to the benefit of, and be enforceable by the Parties and their respective successors and permitted assigns.</w:t>
      </w:r>
    </w:p>
    <w:p w:rsidRPr="00B71D5E" w:rsidR="00B36EC7" w:rsidP="00EC532C" w:rsidRDefault="00B36EC7" w14:paraId="7BCB72ED" w14:textId="77777777">
      <w:pPr>
        <w:pStyle w:val="BodyText"/>
        <w:numPr>
          <w:ilvl w:val="1"/>
          <w:numId w:val="13"/>
        </w:numPr>
        <w:spacing w:before="120" w:line="240" w:lineRule="auto"/>
        <w:jc w:val="both"/>
        <w:rPr>
          <w:rFonts w:ascii="Arial" w:hAnsi="Arial" w:cs="Arial"/>
          <w:b/>
          <w:bCs/>
          <w:vanish/>
          <w:sz w:val="20"/>
          <w:szCs w:val="20"/>
          <w:specVanish/>
        </w:rPr>
      </w:pPr>
      <w:r>
        <w:rPr>
          <w:rFonts w:ascii="Arial" w:hAnsi="Arial" w:cs="Arial"/>
          <w:b/>
          <w:bCs/>
          <w:sz w:val="20"/>
          <w:szCs w:val="20"/>
        </w:rPr>
        <w:lastRenderedPageBreak/>
        <w:t>Amendment.</w:t>
      </w:r>
    </w:p>
    <w:p w:rsidRPr="00B71D5E" w:rsidR="00B36EC7" w:rsidP="00B71D5E" w:rsidRDefault="00B36EC7" w14:paraId="4704EEE6"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may not be amended, supplemented, or modified except by an instrument in writing signed on behalf of GPC and Assignor.</w:t>
      </w:r>
    </w:p>
    <w:p w:rsidRPr="00B71D5E" w:rsidR="00B36EC7" w:rsidP="004D2699" w:rsidRDefault="00B36EC7" w14:paraId="234DD0B0" w14:textId="77777777">
      <w:pPr>
        <w:keepNext/>
        <w:spacing w:before="120" w:after="120" w:line="240" w:lineRule="auto"/>
        <w:jc w:val="both"/>
        <w:rPr>
          <w:rFonts w:ascii="Arial" w:hAnsi="Arial" w:eastAsia="Batang" w:cs="Arial"/>
          <w:color w:val="000000" w:themeColor="text1"/>
          <w:w w:val="0"/>
          <w:sz w:val="20"/>
          <w:szCs w:val="20"/>
        </w:rPr>
      </w:pPr>
      <w:r>
        <w:rPr>
          <w:rFonts w:ascii="Arial" w:hAnsi="Arial" w:eastAsia="Batang" w:cs="Arial"/>
          <w:bCs/>
          <w:color w:val="000000" w:themeColor="text1"/>
          <w:w w:val="0"/>
          <w:sz w:val="20"/>
          <w:szCs w:val="20"/>
        </w:rPr>
        <w:t>Each Party</w:t>
      </w:r>
      <w:r>
        <w:rPr>
          <w:rFonts w:ascii="Arial" w:hAnsi="Arial" w:eastAsia="Batang" w:cs="Arial"/>
          <w:b/>
          <w:color w:val="000000" w:themeColor="text1"/>
          <w:w w:val="0"/>
          <w:sz w:val="20"/>
          <w:szCs w:val="20"/>
        </w:rPr>
        <w:t xml:space="preserve"> </w:t>
      </w:r>
      <w:r>
        <w:rPr>
          <w:rFonts w:ascii="Arial" w:hAnsi="Arial" w:eastAsia="Batang" w:cs="Arial"/>
          <w:color w:val="000000" w:themeColor="text1"/>
          <w:w w:val="0"/>
          <w:sz w:val="20"/>
          <w:szCs w:val="20"/>
        </w:rPr>
        <w:t xml:space="preserve">agrees to all terms and conditions of this Agreement. The Parties may exchange counterparts of this Agreement as a scanned image (e.g., .pdf or .tiff file extension) as an attachment to email; an electronic or scanned signature is an original signature for all purposes. </w:t>
      </w:r>
    </w:p>
    <w:tbl>
      <w:tblPr>
        <w:tblStyle w:val="TableGrid1"/>
        <w:tblW w:w="0" w:type="auto"/>
        <w:tblLook w:val="04A0" w:firstRow="1" w:lastRow="0" w:firstColumn="1" w:lastColumn="0" w:noHBand="0" w:noVBand="1"/>
      </w:tblPr>
      <w:tblGrid>
        <w:gridCol w:w="9936"/>
      </w:tblGrid>
      <w:tr w:rsidRPr="00B71D5E" w:rsidR="00B36EC7" w14:paraId="267E894A" w14:textId="77777777">
        <w:tc>
          <w:tcPr>
            <w:tcW w:w="9360" w:type="dxa"/>
          </w:tcPr>
          <w:p w:rsidRPr="00B71D5E" w:rsidR="00B36EC7" w:rsidP="00B71D5E" w:rsidRDefault="00B36EC7" w14:paraId="7B4BAF53" w14:textId="77777777">
            <w:pPr>
              <w:pStyle w:val="BodyText"/>
              <w:spacing w:before="120"/>
              <w:rPr>
                <w:rFonts w:eastAsia="PMingLiU" w:cs="Arial"/>
              </w:rPr>
            </w:pPr>
          </w:p>
          <w:tbl>
            <w:tblPr>
              <w:tblW w:w="9936" w:type="dxa"/>
              <w:tblCellMar>
                <w:left w:w="29" w:type="dxa"/>
                <w:right w:w="29" w:type="dxa"/>
              </w:tblCellMar>
              <w:tblLook w:val="0000" w:firstRow="0" w:lastRow="0" w:firstColumn="0" w:lastColumn="0" w:noHBand="0" w:noVBand="0"/>
            </w:tblPr>
            <w:tblGrid>
              <w:gridCol w:w="647"/>
              <w:gridCol w:w="4020"/>
              <w:gridCol w:w="362"/>
              <w:gridCol w:w="700"/>
              <w:gridCol w:w="4207"/>
            </w:tblGrid>
            <w:tr w:rsidRPr="00B71D5E" w:rsidR="00B36EC7" w14:paraId="56408BCC"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B71D5E" w:rsidR="00B36EC7" w:rsidP="00B71D5E" w:rsidRDefault="00B36EC7" w14:paraId="2191F69E" w14:textId="77777777">
                  <w:pPr>
                    <w:keepNext/>
                    <w:spacing w:before="120" w:after="120" w:line="240" w:lineRule="auto"/>
                    <w:rPr>
                      <w:rFonts w:ascii="Arial" w:hAnsi="Arial" w:cs="Arial"/>
                      <w:b/>
                      <w:sz w:val="20"/>
                      <w:szCs w:val="20"/>
                    </w:rPr>
                  </w:pPr>
                  <w:r>
                    <w:rPr>
                      <w:rFonts w:ascii="Arial" w:hAnsi="Arial" w:cs="Arial"/>
                      <w:b/>
                      <w:sz w:val="20"/>
                      <w:szCs w:val="20"/>
                    </w:rPr>
                    <w:t>Georgia Power Company</w:t>
                  </w:r>
                </w:p>
              </w:tc>
              <w:tc>
                <w:tcPr>
                  <w:tcW w:w="362" w:type="dxa"/>
                  <w:tcBorders>
                    <w:top w:val="nil"/>
                    <w:left w:val="nil"/>
                    <w:bottom w:val="nil"/>
                    <w:right w:val="nil"/>
                  </w:tcBorders>
                  <w:tcMar>
                    <w:top w:w="0" w:type="dxa"/>
                    <w:left w:w="29" w:type="dxa"/>
                    <w:bottom w:w="0" w:type="dxa"/>
                    <w:right w:w="29" w:type="dxa"/>
                  </w:tcMar>
                </w:tcPr>
                <w:p w:rsidRPr="00B71D5E" w:rsidR="00B36EC7" w:rsidP="00B71D5E" w:rsidRDefault="00B36EC7" w14:paraId="77AEE1CA" w14:textId="77777777">
                  <w:pPr>
                    <w:keepNext/>
                    <w:spacing w:before="120" w:after="120" w:line="240" w:lineRule="auto"/>
                    <w:rPr>
                      <w:rFonts w:ascii="Arial" w:hAnsi="Arial" w:cs="Arial"/>
                      <w:b/>
                      <w:sz w:val="20"/>
                      <w:szCs w:val="20"/>
                    </w:rPr>
                  </w:pPr>
                </w:p>
              </w:tc>
              <w:tc>
                <w:tcPr>
                  <w:tcW w:w="4907" w:type="dxa"/>
                  <w:gridSpan w:val="2"/>
                  <w:tcBorders>
                    <w:top w:val="nil"/>
                    <w:left w:val="nil"/>
                    <w:bottom w:val="nil"/>
                    <w:right w:val="nil"/>
                  </w:tcBorders>
                  <w:tcMar>
                    <w:top w:w="0" w:type="dxa"/>
                    <w:left w:w="29" w:type="dxa"/>
                    <w:bottom w:w="0" w:type="dxa"/>
                    <w:right w:w="29" w:type="dxa"/>
                  </w:tcMar>
                </w:tcPr>
                <w:p w:rsidRPr="00B71D5E" w:rsidR="00B36EC7" w:rsidP="00B71D5E" w:rsidRDefault="00B36EC7" w14:paraId="0B18ECC9" w14:textId="77777777">
                  <w:pPr>
                    <w:keepNext/>
                    <w:spacing w:before="120" w:after="120" w:line="240" w:lineRule="auto"/>
                    <w:rPr>
                      <w:rFonts w:ascii="Arial" w:hAnsi="Arial" w:cs="Arial"/>
                      <w:b/>
                      <w:sz w:val="20"/>
                      <w:szCs w:val="20"/>
                      <w:highlight w:val="yellow"/>
                    </w:rPr>
                  </w:pPr>
                  <w:r>
                    <w:rPr>
                      <w:rFonts w:ascii="Arial" w:hAnsi="Arial" w:cs="Arial"/>
                      <w:b/>
                      <w:sz w:val="20"/>
                      <w:szCs w:val="20"/>
                      <w:highlight w:val="yellow"/>
                    </w:rPr>
                    <w:t xml:space="preserve"> #SellerLegalName#</w:t>
                  </w:r>
                </w:p>
              </w:tc>
            </w:tr>
            <w:tr w:rsidRPr="00B71D5E" w:rsidR="00B36EC7" w:rsidTr="00360C3B" w14:paraId="7AAFE94C"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053FF478"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01924D87" w14:textId="77777777">
                  <w:pPr>
                    <w:spacing w:before="120" w:after="120" w:line="240" w:lineRule="auto"/>
                    <w:jc w:val="right"/>
                    <w:rPr>
                      <w:rFonts w:ascii="Arial" w:hAnsi="Arial" w:cs="Arial"/>
                      <w:sz w:val="20"/>
                      <w:szCs w:val="20"/>
                    </w:rPr>
                  </w:pP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64B4F4C7" w14:textId="77777777">
                  <w:pPr>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0D1F741A"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0AB5C76A" w14:textId="77777777">
                  <w:pPr>
                    <w:spacing w:before="120" w:after="120" w:line="240" w:lineRule="auto"/>
                    <w:jc w:val="right"/>
                    <w:rPr>
                      <w:rFonts w:ascii="Arial" w:hAnsi="Arial" w:cs="Arial"/>
                      <w:b/>
                      <w:sz w:val="20"/>
                      <w:szCs w:val="20"/>
                      <w:u w:val="single"/>
                    </w:rPr>
                  </w:pPr>
                </w:p>
              </w:tc>
            </w:tr>
            <w:tr w:rsidRPr="00B71D5E" w:rsidR="00B36EC7" w:rsidTr="00360C3B" w14:paraId="2558E95F" w14:textId="77777777">
              <w:tc>
                <w:tcPr>
                  <w:tcW w:w="647" w:type="dxa"/>
                  <w:tcBorders>
                    <w:left w:val="nil"/>
                    <w:bottom w:val="nil"/>
                    <w:right w:val="nil"/>
                  </w:tcBorders>
                  <w:tcMar>
                    <w:top w:w="0" w:type="dxa"/>
                    <w:left w:w="29" w:type="dxa"/>
                    <w:bottom w:w="0" w:type="dxa"/>
                    <w:right w:w="29" w:type="dxa"/>
                  </w:tcMar>
                  <w:vAlign w:val="bottom"/>
                </w:tcPr>
                <w:p w:rsidRPr="00B71D5E" w:rsidR="00B36EC7" w:rsidP="00B71D5E" w:rsidRDefault="00B36EC7" w14:paraId="499606DD" w14:textId="77777777">
                  <w:pPr>
                    <w:spacing w:before="120" w:after="120" w:line="240" w:lineRule="auto"/>
                    <w:jc w:val="right"/>
                    <w:rPr>
                      <w:rFonts w:ascii="Arial" w:hAnsi="Arial" w:cs="Arial"/>
                      <w:sz w:val="20"/>
                      <w:szCs w:val="20"/>
                    </w:rPr>
                  </w:pPr>
                </w:p>
              </w:tc>
              <w:tc>
                <w:tcPr>
                  <w:tcW w:w="4020" w:type="dxa"/>
                  <w:tcBorders>
                    <w:top w:val="single" w:color="auto" w:sz="4" w:space="0"/>
                    <w:left w:val="nil"/>
                    <w:bottom w:val="nil"/>
                    <w:right w:val="nil"/>
                  </w:tcBorders>
                  <w:tcMar>
                    <w:top w:w="0" w:type="dxa"/>
                    <w:left w:w="29" w:type="dxa"/>
                    <w:bottom w:w="0" w:type="dxa"/>
                    <w:right w:w="29" w:type="dxa"/>
                  </w:tcMar>
                  <w:vAlign w:val="bottom"/>
                </w:tcPr>
                <w:p w:rsidRPr="00B71D5E" w:rsidR="00B36EC7" w:rsidP="00B71D5E" w:rsidRDefault="00B36EC7" w14:paraId="1B9228AD"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#Name#</w:t>
                  </w:r>
                </w:p>
              </w:tc>
              <w:tc>
                <w:tcPr>
                  <w:tcW w:w="362" w:type="dxa"/>
                  <w:tcBorders>
                    <w:left w:val="nil"/>
                    <w:bottom w:val="nil"/>
                    <w:right w:val="nil"/>
                  </w:tcBorders>
                  <w:tcMar>
                    <w:top w:w="0" w:type="dxa"/>
                    <w:left w:w="29" w:type="dxa"/>
                    <w:bottom w:w="0" w:type="dxa"/>
                    <w:right w:w="29" w:type="dxa"/>
                  </w:tcMar>
                  <w:vAlign w:val="bottom"/>
                </w:tcPr>
                <w:p w:rsidRPr="00B71D5E" w:rsidR="00B36EC7" w:rsidP="00B71D5E" w:rsidRDefault="00B36EC7" w14:paraId="512F26E6" w14:textId="77777777">
                  <w:pPr>
                    <w:spacing w:before="120" w:after="120" w:line="240" w:lineRule="auto"/>
                    <w:rPr>
                      <w:rFonts w:ascii="Arial" w:hAnsi="Arial" w:cs="Arial"/>
                      <w:sz w:val="20"/>
                      <w:szCs w:val="20"/>
                      <w:highlight w:val="yellow"/>
                    </w:rPr>
                  </w:pPr>
                </w:p>
              </w:tc>
              <w:tc>
                <w:tcPr>
                  <w:tcW w:w="700" w:type="dxa"/>
                  <w:tcBorders>
                    <w:left w:val="nil"/>
                    <w:bottom w:val="nil"/>
                    <w:right w:val="nil"/>
                  </w:tcBorders>
                  <w:tcMar>
                    <w:top w:w="0" w:type="dxa"/>
                    <w:left w:w="29" w:type="dxa"/>
                    <w:bottom w:w="0" w:type="dxa"/>
                    <w:right w:w="29" w:type="dxa"/>
                  </w:tcMar>
                  <w:vAlign w:val="bottom"/>
                </w:tcPr>
                <w:p w:rsidRPr="00B71D5E" w:rsidR="00B36EC7" w:rsidP="00B71D5E" w:rsidRDefault="00B36EC7" w14:paraId="18F42C49" w14:textId="77777777">
                  <w:pPr>
                    <w:spacing w:before="120" w:after="120" w:line="240" w:lineRule="auto"/>
                    <w:rPr>
                      <w:rFonts w:ascii="Arial" w:hAnsi="Arial" w:cs="Arial"/>
                      <w:sz w:val="20"/>
                      <w:szCs w:val="20"/>
                    </w:rPr>
                  </w:pPr>
                </w:p>
              </w:tc>
              <w:tc>
                <w:tcPr>
                  <w:tcW w:w="4207" w:type="dxa"/>
                  <w:tcBorders>
                    <w:top w:val="single" w:color="auto" w:sz="4" w:space="0"/>
                    <w:left w:val="nil"/>
                    <w:bottom w:val="nil"/>
                    <w:right w:val="nil"/>
                  </w:tcBorders>
                  <w:tcMar>
                    <w:top w:w="0" w:type="dxa"/>
                    <w:left w:w="29" w:type="dxa"/>
                    <w:bottom w:w="0" w:type="dxa"/>
                    <w:right w:w="29" w:type="dxa"/>
                  </w:tcMar>
                  <w:vAlign w:val="bottom"/>
                </w:tcPr>
                <w:p w:rsidRPr="00B71D5E" w:rsidR="00B36EC7" w:rsidP="00B71D5E" w:rsidRDefault="00B36EC7" w14:paraId="6A53A11E"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#SellerSignatureName#</w:t>
                  </w:r>
                </w:p>
              </w:tc>
            </w:tr>
            <w:tr w:rsidRPr="00B71D5E" w:rsidR="00B36EC7" w:rsidTr="00360C3B" w14:paraId="1D97202C" w14:textId="77777777">
              <w:tc>
                <w:tcPr>
                  <w:tcW w:w="647"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5EFDA372" w14:textId="77777777">
                  <w:pPr>
                    <w:spacing w:before="120" w:after="120" w:line="240" w:lineRule="auto"/>
                    <w:jc w:val="right"/>
                    <w:rPr>
                      <w:rFonts w:ascii="Arial" w:hAnsi="Arial" w:cs="Arial"/>
                      <w:sz w:val="20"/>
                      <w:szCs w:val="20"/>
                    </w:rPr>
                  </w:pPr>
                </w:p>
              </w:tc>
              <w:tc>
                <w:tcPr>
                  <w:tcW w:w="4020" w:type="dxa"/>
                  <w:tcBorders>
                    <w:top w:val="nil"/>
                    <w:left w:val="nil"/>
                    <w:right w:val="nil"/>
                  </w:tcBorders>
                  <w:tcMar>
                    <w:top w:w="0" w:type="dxa"/>
                    <w:left w:w="29" w:type="dxa"/>
                    <w:bottom w:w="0" w:type="dxa"/>
                    <w:right w:w="29" w:type="dxa"/>
                  </w:tcMar>
                  <w:vAlign w:val="bottom"/>
                </w:tcPr>
                <w:p w:rsidRPr="00B71D5E" w:rsidR="00B36EC7" w:rsidP="00B71D5E" w:rsidRDefault="00B36EC7" w14:paraId="4374469F"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5EC6256A" w14:textId="77777777">
                  <w:pPr>
                    <w:spacing w:before="120" w:after="120" w:line="240" w:lineRule="auto"/>
                    <w:rPr>
                      <w:rFonts w:ascii="Arial" w:hAnsi="Arial" w:cs="Arial"/>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729643AC" w14:textId="77777777">
                  <w:pPr>
                    <w:spacing w:before="120" w:after="120" w:line="240" w:lineRule="auto"/>
                    <w:rPr>
                      <w:rFonts w:ascii="Arial" w:hAnsi="Arial" w:cs="Arial"/>
                      <w:sz w:val="20"/>
                      <w:szCs w:val="20"/>
                    </w:rPr>
                  </w:pPr>
                </w:p>
              </w:tc>
              <w:tc>
                <w:tcPr>
                  <w:tcW w:w="4207" w:type="dxa"/>
                  <w:tcBorders>
                    <w:top w:val="nil"/>
                    <w:left w:val="nil"/>
                    <w:right w:val="nil"/>
                  </w:tcBorders>
                  <w:tcMar>
                    <w:top w:w="0" w:type="dxa"/>
                    <w:left w:w="29" w:type="dxa"/>
                    <w:bottom w:w="0" w:type="dxa"/>
                    <w:right w:w="29" w:type="dxa"/>
                  </w:tcMar>
                  <w:vAlign w:val="bottom"/>
                </w:tcPr>
                <w:p w:rsidRPr="00B71D5E" w:rsidR="00B36EC7" w:rsidP="00B71D5E" w:rsidRDefault="00B36EC7" w14:paraId="09AF1A78"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#SellerSignatureTitle#</w:t>
                  </w:r>
                </w:p>
              </w:tc>
            </w:tr>
            <w:tr w:rsidRPr="00B71D5E" w:rsidR="00B36EC7" w:rsidTr="00360C3B" w14:paraId="1DE2E97C"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49BA02C3"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0008D753" w14:textId="77777777">
                  <w:pPr>
                    <w:spacing w:before="120" w:after="120" w:line="240" w:lineRule="auto"/>
                    <w:jc w:val="right"/>
                    <w:rPr>
                      <w:rFonts w:ascii="Arial" w:hAnsi="Arial" w:cs="Arial"/>
                      <w:b/>
                      <w:sz w:val="20"/>
                      <w:szCs w:val="20"/>
                      <w:u w:val="single"/>
                    </w:rPr>
                  </w:pP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6E392E84" w14:textId="77777777">
                  <w:pPr>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22BA73F8"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65FFB580" w14:textId="77777777">
                  <w:pPr>
                    <w:spacing w:before="120" w:after="120" w:line="240" w:lineRule="auto"/>
                    <w:jc w:val="right"/>
                    <w:rPr>
                      <w:rFonts w:ascii="Arial" w:hAnsi="Arial" w:cs="Arial"/>
                      <w:b/>
                      <w:sz w:val="20"/>
                      <w:szCs w:val="20"/>
                      <w:u w:val="single"/>
                    </w:rPr>
                  </w:pPr>
                </w:p>
              </w:tc>
            </w:tr>
          </w:tbl>
          <w:p w:rsidRPr="00B71D5E" w:rsidR="00B36EC7" w:rsidP="00B71D5E" w:rsidRDefault="00B36EC7" w14:paraId="252408CC" w14:textId="77777777">
            <w:pPr>
              <w:spacing w:before="120" w:after="120"/>
              <w:rPr>
                <w:rFonts w:cs="Arial"/>
                <w:b/>
                <w:u w:val="single"/>
              </w:rPr>
            </w:pPr>
          </w:p>
          <w:p w:rsidRPr="00B71D5E" w:rsidR="00B36EC7" w:rsidP="00B71D5E" w:rsidRDefault="00B36EC7" w14:paraId="72725046" w14:textId="77777777">
            <w:pPr>
              <w:tabs>
                <w:tab w:val="left" w:pos="3600"/>
                <w:tab w:val="left" w:pos="5040"/>
                <w:tab w:val="left" w:pos="9350"/>
              </w:tabs>
              <w:spacing w:before="120" w:after="120"/>
              <w:rPr>
                <w:rFonts w:eastAsia="Calibri" w:cs="Arial"/>
                <w:b/>
              </w:rPr>
            </w:pPr>
          </w:p>
        </w:tc>
      </w:tr>
    </w:tbl>
    <w:p w:rsidRPr="00B71D5E" w:rsidR="00B36EC7" w:rsidP="00B71D5E" w:rsidRDefault="00B36EC7" w14:paraId="5F659919" w14:textId="77777777">
      <w:pPr>
        <w:pStyle w:val="BodyText"/>
        <w:spacing w:before="120" w:line="240" w:lineRule="auto"/>
        <w:rPr>
          <w:rFonts w:ascii="Arial" w:hAnsi="Arial" w:cs="Arial"/>
          <w:sz w:val="20"/>
          <w:szCs w:val="20"/>
        </w:rPr>
      </w:pPr>
    </w:p>
    <w:p w:rsidRPr="00B71D5E" w:rsidR="00B36EC7" w:rsidP="00B71D5E" w:rsidRDefault="00B36EC7" w14:paraId="57AF3D48" w14:textId="77777777">
      <w:pPr>
        <w:spacing w:before="120" w:after="120" w:line="240" w:lineRule="auto"/>
        <w:rPr>
          <w:rFonts w:ascii="Arial" w:hAnsi="Arial" w:cs="Arial"/>
          <w:sz w:val="20"/>
          <w:szCs w:val="20"/>
        </w:rPr>
      </w:pPr>
      <w:r>
        <w:rPr>
          <w:rFonts w:ascii="Arial" w:hAnsi="Arial" w:cs="Arial"/>
          <w:sz w:val="20"/>
          <w:szCs w:val="20"/>
        </w:rPr>
        <w:br w:type="page"/>
      </w:r>
    </w:p>
    <w:p w:rsidRPr="00B71D5E" w:rsidR="00B36EC7" w:rsidP="00B71D5E" w:rsidRDefault="00B36EC7" w14:paraId="78CECDE4" w14:textId="77777777">
      <w:pPr>
        <w:pStyle w:val="zGTitleExhibit"/>
        <w:rPr>
          <w:rFonts w:cs="Arial"/>
        </w:rPr>
      </w:pPr>
      <w:bookmarkStart w:name="_Toc181639517" w:id="699"/>
      <w:bookmarkStart w:name="_Toc214644837" w:id="700"/>
      <w:bookmarkStart w:name="_Hlk127545536" w:id="701"/>
      <w:r>
        <w:rPr>
          <w:rFonts w:cs="Arial"/>
        </w:rPr>
        <w:lastRenderedPageBreak/>
        <w:t>Exhibit E – Form of Assignment Agreement</w:t>
      </w:r>
      <w:bookmarkEnd w:id="699"/>
      <w:bookmarkEnd w:id="700"/>
    </w:p>
    <w:p w:rsidRPr="00B71D5E" w:rsidR="00B36EC7" w:rsidP="004D2699" w:rsidRDefault="00B36EC7" w14:paraId="30BDA2C2" w14:textId="7C9B1076">
      <w:pPr>
        <w:spacing w:before="120" w:after="120" w:line="240" w:lineRule="auto"/>
        <w:jc w:val="both"/>
        <w:rPr>
          <w:rFonts w:ascii="Arial" w:hAnsi="Arial" w:cs="Arial"/>
          <w:sz w:val="20"/>
          <w:szCs w:val="20"/>
        </w:rPr>
      </w:pPr>
      <w:r>
        <w:rPr>
          <w:rFonts w:ascii="Arial" w:hAnsi="Arial" w:cs="Arial"/>
          <w:sz w:val="20"/>
          <w:szCs w:val="20"/>
        </w:rPr>
        <w:t>This</w:t>
      </w:r>
      <w:r>
        <w:rPr>
          <w:rFonts w:ascii="Arial" w:hAnsi="Arial" w:cs="Arial"/>
          <w:b/>
          <w:bCs/>
          <w:sz w:val="20"/>
          <w:szCs w:val="20"/>
        </w:rPr>
        <w:t xml:space="preserve"> Assignment Agreement</w:t>
      </w:r>
      <w:r>
        <w:rPr>
          <w:rFonts w:ascii="Arial" w:hAnsi="Arial" w:cs="Arial"/>
          <w:sz w:val="20"/>
          <w:szCs w:val="20"/>
        </w:rPr>
        <w:t xml:space="preserve"> (“</w:t>
      </w:r>
      <w:r>
        <w:rPr>
          <w:rFonts w:ascii="Arial" w:hAnsi="Arial" w:cs="Arial"/>
          <w:b/>
          <w:bCs/>
          <w:sz w:val="20"/>
          <w:szCs w:val="20"/>
        </w:rPr>
        <w:t>Agreement</w:t>
      </w:r>
      <w:r>
        <w:rPr>
          <w:rFonts w:ascii="Arial" w:hAnsi="Arial" w:cs="Arial"/>
          <w:sz w:val="20"/>
          <w:szCs w:val="20"/>
        </w:rPr>
        <w:t>”), dated as of ___________, 20__ (“</w:t>
      </w:r>
      <w:r>
        <w:rPr>
          <w:rFonts w:ascii="Arial" w:hAnsi="Arial" w:cs="Arial"/>
          <w:b/>
          <w:sz w:val="20"/>
          <w:szCs w:val="20"/>
        </w:rPr>
        <w:t>Closing Date</w:t>
      </w:r>
      <w:r>
        <w:rPr>
          <w:rFonts w:ascii="Arial" w:hAnsi="Arial" w:cs="Arial"/>
          <w:sz w:val="20"/>
          <w:szCs w:val="20"/>
        </w:rPr>
        <w:t xml:space="preserve">”) is entered into by </w:t>
      </w:r>
      <w:r>
        <w:rPr>
          <w:rFonts w:ascii="Arial" w:hAnsi="Arial" w:cs="Arial"/>
          <w:b/>
          <w:sz w:val="20"/>
          <w:szCs w:val="20"/>
          <w:highlight w:val="yellow"/>
        </w:rPr>
        <w:t>#AssignorLegalName#</w:t>
      </w:r>
      <w:r>
        <w:rPr>
          <w:rFonts w:ascii="Arial" w:hAnsi="Arial" w:cs="Arial"/>
          <w:sz w:val="20"/>
          <w:szCs w:val="20"/>
        </w:rPr>
        <w:t>, #</w:t>
      </w:r>
      <w:r>
        <w:rPr>
          <w:rFonts w:ascii="Arial" w:hAnsi="Arial" w:cs="Arial"/>
          <w:color w:val="000000"/>
          <w:sz w:val="20"/>
          <w:szCs w:val="20"/>
          <w:highlight w:val="yellow"/>
        </w:rPr>
        <w:t>a</w:t>
      </w:r>
      <w:r>
        <w:rPr>
          <w:rFonts w:ascii="Arial" w:hAnsi="Arial" w:cs="Arial"/>
          <w:color w:val="000000"/>
          <w:sz w:val="20"/>
          <w:szCs w:val="20"/>
        </w:rPr>
        <w:t>/</w:t>
      </w:r>
      <w:r>
        <w:rPr>
          <w:rFonts w:ascii="Arial" w:hAnsi="Arial" w:cs="Arial"/>
          <w:color w:val="000000"/>
          <w:sz w:val="20"/>
          <w:szCs w:val="20"/>
          <w:highlight w:val="yellow"/>
        </w:rPr>
        <w:t>an#</w:t>
      </w:r>
      <w:r>
        <w:rPr>
          <w:rFonts w:ascii="Arial" w:hAnsi="Arial" w:cs="Arial"/>
          <w:sz w:val="20"/>
          <w:szCs w:val="20"/>
        </w:rPr>
        <w:t xml:space="preserve"> </w:t>
      </w:r>
      <w:r>
        <w:rPr>
          <w:rFonts w:ascii="Arial" w:hAnsi="Arial" w:cs="Arial"/>
          <w:sz w:val="20"/>
          <w:szCs w:val="20"/>
          <w:highlight w:val="yellow"/>
        </w:rPr>
        <w:t>#OrgState#</w:t>
      </w:r>
      <w:r>
        <w:rPr>
          <w:rFonts w:ascii="Arial" w:hAnsi="Arial" w:cs="Arial"/>
          <w:sz w:val="20"/>
          <w:szCs w:val="20"/>
        </w:rPr>
        <w:t xml:space="preserve"> </w:t>
      </w:r>
      <w:r>
        <w:rPr>
          <w:rFonts w:ascii="Arial" w:hAnsi="Arial" w:cs="Arial"/>
          <w:sz w:val="20"/>
          <w:szCs w:val="20"/>
          <w:highlight w:val="yellow"/>
        </w:rPr>
        <w:t>#limited liability company#</w:t>
      </w:r>
      <w:r>
        <w:rPr>
          <w:rFonts w:ascii="Arial" w:hAnsi="Arial" w:cs="Arial"/>
          <w:sz w:val="20"/>
          <w:szCs w:val="20"/>
        </w:rPr>
        <w:t xml:space="preserve"> </w:t>
      </w:r>
      <w:r>
        <w:rPr>
          <w:rFonts w:ascii="Arial" w:hAnsi="Arial" w:cs="Arial"/>
          <w:b/>
          <w:i/>
          <w:iCs/>
          <w:color w:val="FF0000"/>
          <w:sz w:val="20"/>
          <w:szCs w:val="20"/>
          <w:highlight w:val="cyan"/>
          <w:u w:val="single"/>
        </w:rPr>
        <w:t>OR</w:t>
      </w:r>
      <w:r>
        <w:rPr>
          <w:rFonts w:ascii="Arial" w:hAnsi="Arial" w:cs="Arial"/>
          <w:b/>
          <w:i/>
          <w:sz w:val="20"/>
          <w:szCs w:val="20"/>
        </w:rPr>
        <w:t xml:space="preserve"> </w:t>
      </w:r>
      <w:r>
        <w:rPr>
          <w:rFonts w:ascii="Arial" w:hAnsi="Arial" w:cs="Arial"/>
          <w:sz w:val="20"/>
          <w:szCs w:val="20"/>
          <w:highlight w:val="yellow"/>
        </w:rPr>
        <w:t>#OtherOrgStructure#</w:t>
      </w:r>
      <w:r>
        <w:rPr>
          <w:rFonts w:ascii="Arial" w:hAnsi="Arial" w:cs="Arial"/>
          <w:sz w:val="20"/>
          <w:szCs w:val="20"/>
        </w:rPr>
        <w:t xml:space="preserve"> (“</w:t>
      </w:r>
      <w:r>
        <w:rPr>
          <w:rFonts w:ascii="Arial" w:hAnsi="Arial" w:cs="Arial"/>
          <w:b/>
          <w:bCs/>
          <w:sz w:val="20"/>
          <w:szCs w:val="20"/>
        </w:rPr>
        <w:t>Assignor</w:t>
      </w:r>
      <w:r>
        <w:rPr>
          <w:rFonts w:ascii="Arial" w:hAnsi="Arial" w:cs="Arial"/>
          <w:sz w:val="20"/>
          <w:szCs w:val="20"/>
        </w:rPr>
        <w:t xml:space="preserve">”) and </w:t>
      </w:r>
      <w:r>
        <w:rPr>
          <w:rFonts w:ascii="Arial" w:hAnsi="Arial" w:eastAsia="PMingLiU" w:cs="Arial"/>
          <w:sz w:val="20"/>
          <w:szCs w:val="20"/>
        </w:rPr>
        <w:t xml:space="preserve">Georgia Power Company, a Georgia corporation </w:t>
      </w:r>
      <w:r>
        <w:rPr>
          <w:rFonts w:ascii="Arial" w:hAnsi="Arial" w:cs="Arial"/>
          <w:sz w:val="20"/>
          <w:szCs w:val="20"/>
        </w:rPr>
        <w:t>(“</w:t>
      </w:r>
      <w:r>
        <w:rPr>
          <w:rFonts w:ascii="Arial" w:hAnsi="Arial" w:cs="Arial"/>
          <w:b/>
          <w:sz w:val="20"/>
          <w:szCs w:val="20"/>
        </w:rPr>
        <w:t>GPC</w:t>
      </w:r>
      <w:r>
        <w:rPr>
          <w:rFonts w:ascii="Arial" w:hAnsi="Arial" w:cs="Arial"/>
          <w:sz w:val="20"/>
          <w:szCs w:val="20"/>
        </w:rPr>
        <w:t xml:space="preserve">”). Assignor and GPC are each sometimes referred to in this Agreement individually </w:t>
      </w:r>
      <w:r>
        <w:rPr>
          <w:rFonts w:ascii="Arial" w:hAnsi="Arial" w:cs="Arial"/>
          <w:color w:val="151210"/>
          <w:sz w:val="20"/>
          <w:szCs w:val="20"/>
        </w:rPr>
        <w:t xml:space="preserve">as </w:t>
      </w:r>
      <w:r>
        <w:rPr>
          <w:rFonts w:ascii="Arial" w:hAnsi="Arial" w:cs="Arial"/>
          <w:color w:val="040404"/>
          <w:sz w:val="20"/>
          <w:szCs w:val="20"/>
        </w:rPr>
        <w:t>a “</w:t>
      </w:r>
      <w:r>
        <w:rPr>
          <w:rFonts w:ascii="Arial" w:hAnsi="Arial" w:cs="Arial"/>
          <w:b/>
          <w:sz w:val="20"/>
          <w:szCs w:val="20"/>
        </w:rPr>
        <w:t>Party</w:t>
      </w:r>
      <w:r>
        <w:rPr>
          <w:rFonts w:ascii="Arial" w:hAnsi="Arial" w:cs="Arial"/>
          <w:color w:val="040404"/>
          <w:sz w:val="20"/>
          <w:szCs w:val="20"/>
        </w:rPr>
        <w:t xml:space="preserve">” and collectively as the </w:t>
      </w:r>
      <w:r>
        <w:rPr>
          <w:rFonts w:ascii="Arial" w:hAnsi="Arial" w:cs="Arial"/>
          <w:color w:val="151210"/>
          <w:sz w:val="20"/>
          <w:szCs w:val="20"/>
        </w:rPr>
        <w:t>“</w:t>
      </w:r>
      <w:r>
        <w:rPr>
          <w:rFonts w:ascii="Arial" w:hAnsi="Arial" w:cs="Arial"/>
          <w:b/>
          <w:sz w:val="20"/>
          <w:szCs w:val="20"/>
        </w:rPr>
        <w:t>Parties</w:t>
      </w:r>
      <w:r>
        <w:rPr>
          <w:rFonts w:ascii="Arial" w:hAnsi="Arial" w:cs="Arial"/>
          <w:sz w:val="20"/>
          <w:szCs w:val="20"/>
        </w:rPr>
        <w:t>.” Assignor and GPC acknowledge as follows:</w:t>
      </w:r>
    </w:p>
    <w:p w:rsidRPr="00B71D5E" w:rsidR="00B36EC7" w:rsidP="00EC532C" w:rsidRDefault="00B36EC7" w14:paraId="7619BAEC" w14:textId="1D06799C">
      <w:pPr>
        <w:pStyle w:val="ListParagraph"/>
        <w:numPr>
          <w:ilvl w:val="0"/>
          <w:numId w:val="17"/>
        </w:numPr>
        <w:spacing w:before="120" w:after="120"/>
        <w:rPr>
          <w:rFonts w:ascii="Arial" w:hAnsi="Arial" w:cs="Arial"/>
          <w:sz w:val="20"/>
          <w:szCs w:val="20"/>
        </w:rPr>
      </w:pPr>
      <w:r>
        <w:rPr>
          <w:rFonts w:ascii="Arial" w:hAnsi="Arial" w:cs="Arial"/>
          <w:sz w:val="20"/>
          <w:szCs w:val="20"/>
        </w:rPr>
        <w:t xml:space="preserve">The Parties have entered into an </w:t>
      </w:r>
      <w:r>
        <w:rPr>
          <w:rFonts w:ascii="Arial" w:hAnsi="Arial" w:cs="Arial"/>
          <w:b/>
          <w:bCs/>
          <w:sz w:val="20"/>
          <w:szCs w:val="20"/>
        </w:rPr>
        <w:t xml:space="preserve">Asset Purchase </w:t>
      </w:r>
      <w:r>
        <w:rPr>
          <w:rFonts w:ascii="Arial" w:hAnsi="Arial" w:eastAsia="Calibri" w:cs="Arial"/>
          <w:b/>
          <w:bCs/>
          <w:sz w:val="20"/>
          <w:szCs w:val="20"/>
        </w:rPr>
        <w:t xml:space="preserve">Agreement for </w:t>
      </w:r>
      <w:r w:rsidR="004A03F3">
        <w:rPr>
          <w:rFonts w:ascii="Arial" w:hAnsi="Arial" w:eastAsia="Calibri" w:cs="Arial"/>
          <w:b/>
          <w:bCs/>
          <w:sz w:val="20"/>
          <w:szCs w:val="20"/>
        </w:rPr>
        <w:t>2026 All-Source Capacity Request for Proposals for Need Yea</w:t>
      </w:r>
      <w:r w:rsidRPr="004A03F3" w:rsidR="004A03F3">
        <w:rPr>
          <w:rFonts w:ascii="Arial" w:hAnsi="Arial" w:eastAsia="Calibri" w:cs="Arial"/>
          <w:b/>
          <w:bCs/>
          <w:sz w:val="20"/>
          <w:szCs w:val="20"/>
        </w:rPr>
        <w:t xml:space="preserve">rs </w:t>
      </w:r>
      <w:r w:rsidRPr="004A03F3">
        <w:rPr>
          <w:rFonts w:ascii="Arial" w:hAnsi="Arial" w:eastAsia="Calibri" w:cs="Arial"/>
          <w:b/>
          <w:bCs/>
          <w:sz w:val="20"/>
          <w:szCs w:val="20"/>
        </w:rPr>
        <w:t>2032</w:t>
      </w:r>
      <w:r w:rsidRPr="004A03F3" w:rsidR="004A03F3">
        <w:rPr>
          <w:rFonts w:ascii="Arial" w:hAnsi="Arial" w:cs="Arial"/>
          <w:b/>
          <w:i/>
          <w:sz w:val="20"/>
          <w:szCs w:val="20"/>
        </w:rPr>
        <w:t>–</w:t>
      </w:r>
      <w:r w:rsidRPr="004A03F3">
        <w:rPr>
          <w:rFonts w:ascii="Arial" w:hAnsi="Arial" w:eastAsia="Calibri" w:cs="Arial"/>
          <w:b/>
          <w:bCs/>
          <w:sz w:val="20"/>
          <w:szCs w:val="20"/>
        </w:rPr>
        <w:t xml:space="preserve">2033 </w:t>
      </w:r>
      <w:r>
        <w:rPr>
          <w:rFonts w:ascii="Arial" w:hAnsi="Arial" w:eastAsia="Calibri" w:cs="Arial"/>
          <w:b/>
          <w:bCs/>
          <w:sz w:val="20"/>
          <w:szCs w:val="20"/>
        </w:rPr>
        <w:t xml:space="preserve">at </w:t>
      </w:r>
      <w:r>
        <w:rPr>
          <w:rFonts w:ascii="Arial" w:hAnsi="Arial" w:eastAsia="Calibri" w:cs="Arial"/>
          <w:b/>
          <w:bCs/>
          <w:sz w:val="20"/>
          <w:szCs w:val="20"/>
          <w:highlight w:val="yellow"/>
        </w:rPr>
        <w:t>#FacilityName#</w:t>
      </w:r>
      <w:r>
        <w:rPr>
          <w:rFonts w:ascii="Arial" w:hAnsi="Arial" w:eastAsia="Calibri" w:cs="Arial"/>
          <w:b/>
          <w:bCs/>
          <w:sz w:val="20"/>
          <w:szCs w:val="20"/>
        </w:rPr>
        <w:t xml:space="preserve"> </w:t>
      </w:r>
      <w:r>
        <w:rPr>
          <w:rFonts w:ascii="Arial" w:hAnsi="Arial" w:cs="Arial"/>
          <w:sz w:val="20"/>
          <w:szCs w:val="20"/>
        </w:rPr>
        <w:t>(“</w:t>
      </w:r>
      <w:r>
        <w:rPr>
          <w:rFonts w:ascii="Arial" w:hAnsi="Arial" w:cs="Arial"/>
          <w:b/>
          <w:bCs/>
          <w:sz w:val="20"/>
          <w:szCs w:val="20"/>
        </w:rPr>
        <w:t>APA</w:t>
      </w:r>
      <w:r>
        <w:rPr>
          <w:rFonts w:ascii="Arial" w:hAnsi="Arial" w:cs="Arial"/>
          <w:sz w:val="20"/>
          <w:szCs w:val="20"/>
        </w:rPr>
        <w:t>”), where Assignor has agreed to assign to GPC the Facility Contracts (including the Real Property Agreements); and</w:t>
      </w:r>
    </w:p>
    <w:p w:rsidRPr="00B71D5E" w:rsidR="00B36EC7" w:rsidP="00EC532C" w:rsidRDefault="00B36EC7" w14:paraId="5424F6C1" w14:textId="779B91BA">
      <w:pPr>
        <w:pStyle w:val="BodyText"/>
        <w:numPr>
          <w:ilvl w:val="0"/>
          <w:numId w:val="16"/>
        </w:numPr>
        <w:spacing w:before="120" w:line="240" w:lineRule="auto"/>
        <w:jc w:val="both"/>
        <w:rPr>
          <w:rFonts w:ascii="Arial" w:hAnsi="Arial" w:cs="Arial"/>
          <w:sz w:val="20"/>
          <w:szCs w:val="20"/>
        </w:rPr>
      </w:pPr>
      <w:r>
        <w:rPr>
          <w:rFonts w:ascii="Arial" w:hAnsi="Arial" w:cs="Arial"/>
          <w:sz w:val="20"/>
          <w:szCs w:val="20"/>
        </w:rPr>
        <w:t>The Parties are executing and delivering this Agreement to evidence: (i) the sale, transfer, and assignment of all Facility Contracts (including the Real Property Agreements) by Assignor; and (ii) GPC</w:t>
      </w:r>
      <w:r w:rsidR="00106084">
        <w:rPr>
          <w:rFonts w:ascii="Arial" w:hAnsi="Arial" w:cs="Arial"/>
          <w:sz w:val="20"/>
          <w:szCs w:val="20"/>
        </w:rPr>
        <w:t>’s</w:t>
      </w:r>
      <w:r>
        <w:rPr>
          <w:rFonts w:ascii="Arial" w:hAnsi="Arial" w:cs="Arial"/>
          <w:sz w:val="20"/>
          <w:szCs w:val="20"/>
        </w:rPr>
        <w:t xml:space="preserve"> acceptance of the assignment of the Facility Contracts </w:t>
      </w:r>
      <w:r w:rsidR="00957281">
        <w:rPr>
          <w:rFonts w:ascii="Arial" w:hAnsi="Arial" w:cs="Arial"/>
          <w:sz w:val="20"/>
          <w:szCs w:val="20"/>
        </w:rPr>
        <w:t xml:space="preserve">(including the Real Property Agreements) </w:t>
      </w:r>
      <w:r>
        <w:rPr>
          <w:rFonts w:ascii="Arial" w:hAnsi="Arial" w:cs="Arial"/>
          <w:sz w:val="20"/>
          <w:szCs w:val="20"/>
        </w:rPr>
        <w:t>effective as of the Closing Date subject to the terms of the APA other than Excluded Liabilities.</w:t>
      </w:r>
    </w:p>
    <w:p w:rsidRPr="00B71D5E" w:rsidR="00B36EC7" w:rsidP="002234EE" w:rsidRDefault="00B36EC7" w14:paraId="291B303E" w14:textId="77777777">
      <w:pPr>
        <w:pStyle w:val="BodyText"/>
        <w:spacing w:before="120" w:line="240" w:lineRule="auto"/>
        <w:jc w:val="both"/>
        <w:rPr>
          <w:rFonts w:ascii="Arial" w:hAnsi="Arial" w:cs="Arial"/>
          <w:sz w:val="20"/>
          <w:szCs w:val="20"/>
        </w:rPr>
      </w:pPr>
      <w:r>
        <w:rPr>
          <w:rFonts w:ascii="Arial" w:hAnsi="Arial" w:cs="Arial"/>
          <w:sz w:val="20"/>
          <w:szCs w:val="20"/>
        </w:rPr>
        <w:t xml:space="preserve">To induce GPC to </w:t>
      </w:r>
      <w:proofErr w:type="gramStart"/>
      <w:r>
        <w:rPr>
          <w:rFonts w:ascii="Arial" w:hAnsi="Arial" w:cs="Arial"/>
          <w:sz w:val="20"/>
          <w:szCs w:val="20"/>
        </w:rPr>
        <w:t>enter into</w:t>
      </w:r>
      <w:proofErr w:type="gramEnd"/>
      <w:r>
        <w:rPr>
          <w:rFonts w:ascii="Arial" w:hAnsi="Arial" w:cs="Arial"/>
          <w:sz w:val="20"/>
          <w:szCs w:val="20"/>
        </w:rPr>
        <w:t xml:space="preserve"> and perform its obligations under the APA, and for </w:t>
      </w:r>
      <w:proofErr w:type="gramStart"/>
      <w:r>
        <w:rPr>
          <w:rFonts w:ascii="Arial" w:hAnsi="Arial" w:cs="Arial"/>
          <w:sz w:val="20"/>
          <w:szCs w:val="20"/>
        </w:rPr>
        <w:t>and in</w:t>
      </w:r>
      <w:proofErr w:type="gramEnd"/>
      <w:r>
        <w:rPr>
          <w:rFonts w:ascii="Arial" w:hAnsi="Arial" w:cs="Arial"/>
          <w:sz w:val="20"/>
          <w:szCs w:val="20"/>
        </w:rPr>
        <w:t xml:space="preserve"> consideration of the foregoing statements, the mutual agreements contained in this Agreement, and other good and valuable consideration, the receipt and sufficiency of which are acknowledged, Assignor and GPC agree as follows:</w:t>
      </w:r>
    </w:p>
    <w:p w:rsidRPr="00B71D5E" w:rsidR="00B36EC7" w:rsidP="00EC532C" w:rsidRDefault="00B36EC7" w14:paraId="1316841B" w14:textId="77777777">
      <w:pPr>
        <w:pStyle w:val="BodyText"/>
        <w:numPr>
          <w:ilvl w:val="0"/>
          <w:numId w:val="15"/>
        </w:numPr>
        <w:spacing w:before="120" w:line="240" w:lineRule="auto"/>
        <w:jc w:val="both"/>
        <w:rPr>
          <w:rFonts w:ascii="Arial" w:hAnsi="Arial" w:cs="Arial"/>
          <w:b/>
          <w:bCs/>
          <w:sz w:val="20"/>
          <w:szCs w:val="20"/>
        </w:rPr>
      </w:pPr>
      <w:r>
        <w:rPr>
          <w:rFonts w:ascii="Arial" w:hAnsi="Arial" w:cs="Arial"/>
          <w:b/>
          <w:bCs/>
          <w:sz w:val="20"/>
          <w:szCs w:val="20"/>
        </w:rPr>
        <w:t>DEFINITIONS</w:t>
      </w:r>
    </w:p>
    <w:p w:rsidRPr="00B71D5E" w:rsidR="00B36EC7" w:rsidP="00EC532C" w:rsidRDefault="00B36EC7" w14:paraId="61D6C185" w14:textId="77777777">
      <w:pPr>
        <w:pStyle w:val="BodyText"/>
        <w:numPr>
          <w:ilvl w:val="1"/>
          <w:numId w:val="15"/>
        </w:numPr>
        <w:spacing w:before="120" w:line="240" w:lineRule="auto"/>
        <w:jc w:val="both"/>
        <w:rPr>
          <w:rFonts w:ascii="Arial" w:hAnsi="Arial" w:cs="Arial"/>
          <w:b/>
          <w:bCs/>
          <w:vanish/>
          <w:sz w:val="20"/>
          <w:szCs w:val="20"/>
          <w:specVanish/>
        </w:rPr>
      </w:pPr>
      <w:r>
        <w:rPr>
          <w:rFonts w:ascii="Arial" w:hAnsi="Arial" w:cs="Arial"/>
          <w:b/>
          <w:bCs/>
          <w:sz w:val="20"/>
          <w:szCs w:val="20"/>
        </w:rPr>
        <w:t>Definitions.</w:t>
      </w:r>
    </w:p>
    <w:p w:rsidRPr="00B71D5E" w:rsidR="00B36EC7" w:rsidP="00B71D5E" w:rsidRDefault="00B36EC7" w14:paraId="06CAF0A0" w14:textId="77777777">
      <w:pPr>
        <w:pStyle w:val="BodyText"/>
        <w:spacing w:before="120" w:line="240" w:lineRule="auto"/>
        <w:rPr>
          <w:rFonts w:ascii="Arial" w:hAnsi="Arial" w:cs="Arial"/>
          <w:b/>
          <w:bCs/>
          <w:sz w:val="20"/>
          <w:szCs w:val="20"/>
        </w:rPr>
      </w:pPr>
      <w:r>
        <w:rPr>
          <w:rFonts w:ascii="Arial" w:hAnsi="Arial" w:cs="Arial"/>
          <w:sz w:val="20"/>
          <w:szCs w:val="20"/>
        </w:rPr>
        <w:t xml:space="preserve"> Unless otherwise defined in this Agreement, capitalized terms have the meanings specified or referred to in the APA.</w:t>
      </w:r>
    </w:p>
    <w:p w:rsidRPr="00B71D5E" w:rsidR="00B36EC7" w:rsidP="00EC532C" w:rsidRDefault="00B36EC7" w14:paraId="327DCD6B" w14:textId="77777777">
      <w:pPr>
        <w:pStyle w:val="BodyText"/>
        <w:numPr>
          <w:ilvl w:val="0"/>
          <w:numId w:val="15"/>
        </w:numPr>
        <w:spacing w:before="120" w:line="240" w:lineRule="auto"/>
        <w:jc w:val="both"/>
        <w:rPr>
          <w:rFonts w:ascii="Arial" w:hAnsi="Arial" w:cs="Arial"/>
          <w:b/>
          <w:bCs/>
          <w:sz w:val="20"/>
          <w:szCs w:val="20"/>
        </w:rPr>
      </w:pPr>
      <w:r>
        <w:rPr>
          <w:rFonts w:ascii="Arial" w:hAnsi="Arial" w:cs="Arial"/>
          <w:b/>
          <w:bCs/>
          <w:sz w:val="20"/>
          <w:szCs w:val="20"/>
        </w:rPr>
        <w:t>ASSIGNMENT</w:t>
      </w:r>
    </w:p>
    <w:p w:rsidRPr="00B71D5E" w:rsidR="00B36EC7" w:rsidP="00EC532C" w:rsidRDefault="00B36EC7" w14:paraId="1F3E4A8E" w14:textId="77777777">
      <w:pPr>
        <w:pStyle w:val="BodyText"/>
        <w:numPr>
          <w:ilvl w:val="1"/>
          <w:numId w:val="15"/>
        </w:numPr>
        <w:spacing w:before="120" w:line="240" w:lineRule="auto"/>
        <w:jc w:val="both"/>
        <w:rPr>
          <w:rFonts w:ascii="Arial" w:hAnsi="Arial" w:cs="Arial"/>
          <w:vanish/>
          <w:sz w:val="20"/>
          <w:szCs w:val="20"/>
          <w:specVanish/>
        </w:rPr>
      </w:pPr>
      <w:r>
        <w:rPr>
          <w:rFonts w:ascii="Arial" w:hAnsi="Arial" w:cs="Arial"/>
          <w:b/>
          <w:bCs/>
          <w:sz w:val="20"/>
          <w:szCs w:val="20"/>
        </w:rPr>
        <w:t>Assignment to and Assumption by GPC</w:t>
      </w:r>
      <w:r>
        <w:rPr>
          <w:rFonts w:ascii="Arial" w:hAnsi="Arial" w:cs="Arial"/>
          <w:sz w:val="20"/>
          <w:szCs w:val="20"/>
        </w:rPr>
        <w:t>.</w:t>
      </w:r>
    </w:p>
    <w:p w:rsidRPr="00B71D5E" w:rsidR="00B36EC7" w:rsidP="00B71D5E" w:rsidRDefault="00B36EC7" w14:paraId="33BEE468" w14:textId="77777777">
      <w:pPr>
        <w:pStyle w:val="BodyText"/>
        <w:spacing w:before="120" w:line="240" w:lineRule="auto"/>
        <w:rPr>
          <w:rFonts w:ascii="Arial" w:hAnsi="Arial" w:cs="Arial"/>
          <w:sz w:val="20"/>
          <w:szCs w:val="20"/>
        </w:rPr>
      </w:pPr>
      <w:r>
        <w:rPr>
          <w:rFonts w:ascii="Arial" w:hAnsi="Arial" w:cs="Arial"/>
          <w:sz w:val="20"/>
          <w:szCs w:val="20"/>
        </w:rPr>
        <w:t xml:space="preserve"> Effective as of the Closing Date, and subject to the terms and conditions contained in the APA, Assignor assigns and delegates to </w:t>
      </w:r>
      <w:r>
        <w:rPr>
          <w:rFonts w:ascii="Arial" w:hAnsi="Arial" w:cs="Arial"/>
          <w:spacing w:val="-1"/>
          <w:sz w:val="20"/>
          <w:szCs w:val="20"/>
        </w:rPr>
        <w:t>GPC</w:t>
      </w:r>
      <w:r>
        <w:rPr>
          <w:rFonts w:ascii="Arial" w:hAnsi="Arial" w:cs="Arial"/>
          <w:sz w:val="20"/>
          <w:szCs w:val="20"/>
        </w:rPr>
        <w:t xml:space="preserve">, and </w:t>
      </w:r>
      <w:r>
        <w:rPr>
          <w:rFonts w:ascii="Arial" w:hAnsi="Arial" w:cs="Arial"/>
          <w:spacing w:val="-1"/>
          <w:sz w:val="20"/>
          <w:szCs w:val="20"/>
        </w:rPr>
        <w:t xml:space="preserve">GPC </w:t>
      </w:r>
      <w:r>
        <w:rPr>
          <w:rFonts w:ascii="Arial" w:hAnsi="Arial" w:cs="Arial"/>
          <w:sz w:val="20"/>
          <w:szCs w:val="20"/>
        </w:rPr>
        <w:t>assumes and will pay, perform, and discharge when due, all of Assignor’s right, title and interest in and to the Facility Contracts (including the Real Property Agreements), free and clear of all Liens other than Permitted Liens, and GPC purchases all of Assignor’s right, title, and interest in and to all of the Facility Contracts (including all Real Property Agreements) as set forth in the APA.</w:t>
      </w:r>
    </w:p>
    <w:p w:rsidRPr="00B71D5E" w:rsidR="00B36EC7" w:rsidP="00EC532C" w:rsidRDefault="00B36EC7" w14:paraId="3D4D33D0" w14:textId="77777777">
      <w:pPr>
        <w:pStyle w:val="BodyText"/>
        <w:numPr>
          <w:ilvl w:val="1"/>
          <w:numId w:val="15"/>
        </w:numPr>
        <w:spacing w:before="120" w:line="240" w:lineRule="auto"/>
        <w:jc w:val="both"/>
        <w:rPr>
          <w:rFonts w:ascii="Arial" w:hAnsi="Arial" w:cs="Arial"/>
          <w:vanish/>
          <w:sz w:val="20"/>
          <w:szCs w:val="20"/>
          <w:specVanish/>
        </w:rPr>
      </w:pPr>
      <w:r>
        <w:rPr>
          <w:rFonts w:ascii="Arial" w:hAnsi="Arial" w:cs="Arial"/>
          <w:b/>
          <w:bCs/>
          <w:sz w:val="20"/>
          <w:szCs w:val="20"/>
        </w:rPr>
        <w:t>Excluded Liabilities</w:t>
      </w:r>
      <w:r>
        <w:rPr>
          <w:rFonts w:ascii="Arial" w:hAnsi="Arial" w:cs="Arial"/>
          <w:sz w:val="20"/>
          <w:szCs w:val="20"/>
        </w:rPr>
        <w:t>.</w:t>
      </w:r>
    </w:p>
    <w:p w:rsidRPr="00B71D5E" w:rsidR="00B36EC7" w:rsidP="00B71D5E" w:rsidRDefault="00B36EC7" w14:paraId="55C977B8" w14:textId="77777777">
      <w:pPr>
        <w:pStyle w:val="BodyText"/>
        <w:spacing w:before="120" w:line="240" w:lineRule="auto"/>
        <w:rPr>
          <w:rFonts w:ascii="Arial" w:hAnsi="Arial" w:cs="Arial"/>
          <w:sz w:val="20"/>
          <w:szCs w:val="20"/>
        </w:rPr>
      </w:pPr>
      <w:r>
        <w:rPr>
          <w:rFonts w:ascii="Arial" w:hAnsi="Arial" w:cs="Arial"/>
          <w:sz w:val="20"/>
          <w:szCs w:val="20"/>
        </w:rPr>
        <w:t xml:space="preserve"> GPC assumes no Excluded Liabilities, and the Parties agree that all Excluded Liabilities will remain the sole responsibility of and will be retained, paid, performed, and discharged solely by Assignor.</w:t>
      </w:r>
    </w:p>
    <w:p w:rsidRPr="00B71D5E" w:rsidR="00B36EC7" w:rsidP="00EC532C" w:rsidRDefault="00B36EC7" w14:paraId="2D02C0C9" w14:textId="77777777">
      <w:pPr>
        <w:pStyle w:val="BodyText"/>
        <w:numPr>
          <w:ilvl w:val="1"/>
          <w:numId w:val="15"/>
        </w:numPr>
        <w:spacing w:before="120" w:line="240" w:lineRule="auto"/>
        <w:jc w:val="both"/>
        <w:rPr>
          <w:rFonts w:ascii="Arial" w:hAnsi="Arial" w:cs="Arial"/>
          <w:vanish/>
          <w:sz w:val="20"/>
          <w:szCs w:val="20"/>
          <w:specVanish/>
        </w:rPr>
      </w:pPr>
      <w:r>
        <w:rPr>
          <w:rFonts w:ascii="Arial" w:hAnsi="Arial" w:cs="Arial"/>
          <w:b/>
          <w:bCs/>
          <w:sz w:val="20"/>
          <w:szCs w:val="20"/>
        </w:rPr>
        <w:t>Asset Purchase Agreement</w:t>
      </w:r>
      <w:r>
        <w:rPr>
          <w:rFonts w:ascii="Arial" w:hAnsi="Arial" w:cs="Arial"/>
          <w:sz w:val="20"/>
          <w:szCs w:val="20"/>
        </w:rPr>
        <w:t>.</w:t>
      </w:r>
    </w:p>
    <w:p w:rsidRPr="00B71D5E" w:rsidR="00B36EC7" w:rsidP="00B71D5E" w:rsidRDefault="00B36EC7" w14:paraId="5DAAAAEC"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is executed and delivered and is subject to in all respects the terms and conditions of the APA. GPC acknowledges and agrees that Assignor makes no, and GPC is not relying on any, representation, or warranty with respect to the Assumed Liabilities except as expressly set forth in the APA, and each of the Parties acknowledges and agrees that neither the representations and warranties nor the rights and remedies of the Parties under the APA will be deemed to be enlarged, modified, or altered in any way by this Agreement. To the extent a conflict should arise between this Agreement and the APA, the APA will control.</w:t>
      </w:r>
    </w:p>
    <w:p w:rsidRPr="00B71D5E" w:rsidR="00B36EC7" w:rsidP="00EC532C" w:rsidRDefault="00B36EC7" w14:paraId="776BF9A5" w14:textId="77777777">
      <w:pPr>
        <w:pStyle w:val="BodyText"/>
        <w:numPr>
          <w:ilvl w:val="0"/>
          <w:numId w:val="15"/>
        </w:numPr>
        <w:spacing w:before="120" w:line="240" w:lineRule="auto"/>
        <w:jc w:val="both"/>
        <w:rPr>
          <w:rFonts w:ascii="Arial" w:hAnsi="Arial" w:cs="Arial"/>
          <w:b/>
          <w:bCs/>
          <w:sz w:val="20"/>
          <w:szCs w:val="20"/>
        </w:rPr>
      </w:pPr>
      <w:r>
        <w:rPr>
          <w:rFonts w:ascii="Arial" w:hAnsi="Arial" w:cs="Arial"/>
          <w:b/>
          <w:bCs/>
          <w:sz w:val="20"/>
          <w:szCs w:val="20"/>
        </w:rPr>
        <w:t>MISCELLANEOUS</w:t>
      </w:r>
    </w:p>
    <w:p w:rsidRPr="00B71D5E" w:rsidR="00B36EC7" w:rsidP="00EC532C" w:rsidRDefault="00B36EC7" w14:paraId="04552DF3" w14:textId="77777777">
      <w:pPr>
        <w:pStyle w:val="BodyText"/>
        <w:numPr>
          <w:ilvl w:val="1"/>
          <w:numId w:val="15"/>
        </w:numPr>
        <w:spacing w:before="120" w:line="240" w:lineRule="auto"/>
        <w:jc w:val="both"/>
        <w:rPr>
          <w:rFonts w:ascii="Arial" w:hAnsi="Arial" w:cs="Arial"/>
          <w:b/>
          <w:bCs/>
          <w:vanish/>
          <w:sz w:val="20"/>
          <w:szCs w:val="20"/>
          <w:specVanish/>
        </w:rPr>
      </w:pPr>
      <w:r>
        <w:rPr>
          <w:rFonts w:ascii="Arial" w:hAnsi="Arial" w:cs="Arial"/>
          <w:b/>
          <w:bCs/>
          <w:sz w:val="20"/>
          <w:szCs w:val="20"/>
        </w:rPr>
        <w:t>Governing Law.</w:t>
      </w:r>
    </w:p>
    <w:p w:rsidRPr="005921C0" w:rsidR="00B36EC7" w:rsidP="00B71D5E" w:rsidRDefault="00B36EC7" w14:paraId="52D07242"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will be construed and interpreted, and the rights of the Parties determined, in accordance with the </w:t>
      </w:r>
      <w:r>
        <w:rPr>
          <w:rFonts w:ascii="Arial" w:hAnsi="Arial" w:eastAsia="Times New Roman" w:cs="Arial"/>
          <w:sz w:val="20"/>
          <w:szCs w:val="20"/>
        </w:rPr>
        <w:t>law</w:t>
      </w:r>
      <w:r>
        <w:rPr>
          <w:rFonts w:ascii="Arial" w:hAnsi="Arial" w:cs="Arial"/>
          <w:sz w:val="20"/>
          <w:szCs w:val="20"/>
        </w:rPr>
        <w:t xml:space="preserve">s of the state of Georgia, without giving effect to principles of conflicts of </w:t>
      </w:r>
      <w:r>
        <w:rPr>
          <w:rFonts w:ascii="Arial" w:hAnsi="Arial" w:eastAsia="Times New Roman" w:cs="Arial"/>
          <w:sz w:val="20"/>
          <w:szCs w:val="20"/>
        </w:rPr>
        <w:t>law</w:t>
      </w:r>
      <w:r>
        <w:rPr>
          <w:rFonts w:ascii="Arial" w:hAnsi="Arial" w:cs="Arial"/>
          <w:sz w:val="20"/>
          <w:szCs w:val="20"/>
        </w:rPr>
        <w:t xml:space="preserve"> that would require the application of the </w:t>
      </w:r>
      <w:r>
        <w:rPr>
          <w:rFonts w:ascii="Arial" w:hAnsi="Arial" w:eastAsia="Times New Roman" w:cs="Arial"/>
          <w:sz w:val="20"/>
          <w:szCs w:val="20"/>
        </w:rPr>
        <w:t>law</w:t>
      </w:r>
      <w:r>
        <w:rPr>
          <w:rFonts w:ascii="Arial" w:hAnsi="Arial" w:cs="Arial"/>
          <w:sz w:val="20"/>
          <w:szCs w:val="20"/>
        </w:rPr>
        <w:t>s of another jurisdiction.</w:t>
      </w:r>
    </w:p>
    <w:p w:rsidRPr="005921C0" w:rsidR="00B36EC7" w:rsidP="00EC532C" w:rsidRDefault="00B36EC7" w14:paraId="21BC238C" w14:textId="77777777">
      <w:pPr>
        <w:pStyle w:val="BodyText"/>
        <w:numPr>
          <w:ilvl w:val="1"/>
          <w:numId w:val="15"/>
        </w:numPr>
        <w:spacing w:before="120" w:line="240" w:lineRule="auto"/>
        <w:jc w:val="both"/>
        <w:rPr>
          <w:rFonts w:ascii="Arial" w:hAnsi="Arial" w:cs="Arial"/>
          <w:b/>
          <w:bCs/>
          <w:vanish/>
          <w:sz w:val="20"/>
          <w:szCs w:val="20"/>
          <w:specVanish/>
        </w:rPr>
      </w:pPr>
      <w:r>
        <w:rPr>
          <w:rFonts w:ascii="Arial" w:hAnsi="Arial" w:cs="Arial"/>
          <w:b/>
          <w:bCs/>
          <w:sz w:val="20"/>
          <w:szCs w:val="20"/>
        </w:rPr>
        <w:t>Successors and Assigns.</w:t>
      </w:r>
    </w:p>
    <w:p w:rsidRPr="005921C0" w:rsidR="00B36EC7" w:rsidP="00EC532C" w:rsidRDefault="00B36EC7" w14:paraId="49AC75F8" w14:textId="77777777">
      <w:pPr>
        <w:pStyle w:val="BodyText"/>
        <w:numPr>
          <w:ilvl w:val="1"/>
          <w:numId w:val="15"/>
        </w:numPr>
        <w:spacing w:before="120" w:line="240" w:lineRule="auto"/>
        <w:jc w:val="both"/>
        <w:rPr>
          <w:rFonts w:ascii="Arial" w:hAnsi="Arial" w:cs="Arial"/>
          <w:b/>
          <w:bCs/>
          <w:vanish/>
          <w:sz w:val="20"/>
          <w:szCs w:val="20"/>
          <w:specVanish/>
        </w:rPr>
      </w:pPr>
    </w:p>
    <w:p w:rsidRPr="00B71D5E" w:rsidR="00B36EC7" w:rsidP="00B71D5E" w:rsidRDefault="00B36EC7" w14:paraId="78368933"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will be binding upon, inure to the benefit of, and be enforceable by the Parties and their respective successors and permitted assigns.</w:t>
      </w:r>
    </w:p>
    <w:p w:rsidRPr="00B71D5E" w:rsidR="00B36EC7" w:rsidP="00EC532C" w:rsidRDefault="00B36EC7" w14:paraId="5F3A6F1F" w14:textId="77777777">
      <w:pPr>
        <w:pStyle w:val="BodyText"/>
        <w:numPr>
          <w:ilvl w:val="1"/>
          <w:numId w:val="15"/>
        </w:numPr>
        <w:spacing w:before="120" w:line="240" w:lineRule="auto"/>
        <w:jc w:val="both"/>
        <w:rPr>
          <w:rFonts w:ascii="Arial" w:hAnsi="Arial" w:cs="Arial"/>
          <w:b/>
          <w:bCs/>
          <w:vanish/>
          <w:sz w:val="20"/>
          <w:szCs w:val="20"/>
          <w:specVanish/>
        </w:rPr>
      </w:pPr>
      <w:r>
        <w:rPr>
          <w:rFonts w:ascii="Arial" w:hAnsi="Arial" w:cs="Arial"/>
          <w:b/>
          <w:bCs/>
          <w:sz w:val="20"/>
          <w:szCs w:val="20"/>
        </w:rPr>
        <w:t xml:space="preserve">Amendment. </w:t>
      </w:r>
    </w:p>
    <w:p w:rsidRPr="00B71D5E" w:rsidR="00B36EC7" w:rsidP="00B71D5E" w:rsidRDefault="00B36EC7" w14:paraId="5FC5F35E" w14:textId="77777777">
      <w:pPr>
        <w:pStyle w:val="BodyText"/>
        <w:spacing w:before="120" w:line="240" w:lineRule="auto"/>
        <w:rPr>
          <w:rFonts w:ascii="Arial" w:hAnsi="Arial" w:cs="Arial"/>
          <w:sz w:val="20"/>
          <w:szCs w:val="20"/>
        </w:rPr>
      </w:pPr>
      <w:r>
        <w:rPr>
          <w:rFonts w:ascii="Arial" w:hAnsi="Arial" w:cs="Arial"/>
          <w:sz w:val="20"/>
          <w:szCs w:val="20"/>
        </w:rPr>
        <w:t xml:space="preserve"> This Agreement may not be amended, supplemented, or modified except by an instrument in writing signed on behalf of GPC and Assignor.</w:t>
      </w:r>
    </w:p>
    <w:p w:rsidRPr="00B71D5E" w:rsidR="00B36EC7" w:rsidP="002234EE" w:rsidRDefault="00B36EC7" w14:paraId="19C95CBF" w14:textId="77777777">
      <w:pPr>
        <w:keepNext/>
        <w:keepLines/>
        <w:spacing w:before="120" w:after="120" w:line="240" w:lineRule="auto"/>
        <w:jc w:val="both"/>
        <w:rPr>
          <w:rFonts w:ascii="Arial" w:hAnsi="Arial" w:eastAsia="Batang" w:cs="Arial"/>
          <w:color w:val="000000" w:themeColor="text1"/>
          <w:w w:val="0"/>
          <w:sz w:val="20"/>
          <w:szCs w:val="20"/>
        </w:rPr>
      </w:pPr>
      <w:r>
        <w:rPr>
          <w:rFonts w:ascii="Arial" w:hAnsi="Arial" w:eastAsia="Batang" w:cs="Arial"/>
          <w:bCs/>
          <w:color w:val="000000" w:themeColor="text1"/>
          <w:w w:val="0"/>
          <w:sz w:val="20"/>
          <w:szCs w:val="20"/>
        </w:rPr>
        <w:lastRenderedPageBreak/>
        <w:t>Each Party</w:t>
      </w:r>
      <w:r>
        <w:rPr>
          <w:rFonts w:ascii="Arial" w:hAnsi="Arial" w:eastAsia="Batang" w:cs="Arial"/>
          <w:b/>
          <w:color w:val="000000" w:themeColor="text1"/>
          <w:w w:val="0"/>
          <w:sz w:val="20"/>
          <w:szCs w:val="20"/>
        </w:rPr>
        <w:t xml:space="preserve"> </w:t>
      </w:r>
      <w:r>
        <w:rPr>
          <w:rFonts w:ascii="Arial" w:hAnsi="Arial" w:eastAsia="Batang" w:cs="Arial"/>
          <w:color w:val="000000" w:themeColor="text1"/>
          <w:w w:val="0"/>
          <w:sz w:val="20"/>
          <w:szCs w:val="20"/>
        </w:rPr>
        <w:t xml:space="preserve">agrees to all terms and conditions of this Agreement. The Parties may exchange counterparts of this Agreement as a scanned image (e.g., .pdf or .tiff file extension) as an attachment to email; an electronic or scanned signature is an original signature for all purposes. </w:t>
      </w:r>
    </w:p>
    <w:tbl>
      <w:tblPr>
        <w:tblStyle w:val="TableGrid1"/>
        <w:tblW w:w="0" w:type="auto"/>
        <w:tblLook w:val="04A0" w:firstRow="1" w:lastRow="0" w:firstColumn="1" w:lastColumn="0" w:noHBand="0" w:noVBand="1"/>
      </w:tblPr>
      <w:tblGrid>
        <w:gridCol w:w="9936"/>
      </w:tblGrid>
      <w:tr w:rsidRPr="00B71D5E" w:rsidR="00B36EC7" w14:paraId="05AD332D" w14:textId="77777777">
        <w:tc>
          <w:tcPr>
            <w:tcW w:w="9360" w:type="dxa"/>
          </w:tcPr>
          <w:p w:rsidRPr="00B71D5E" w:rsidR="00B36EC7" w:rsidP="006D127F" w:rsidRDefault="00B36EC7" w14:paraId="5CF7C023" w14:textId="77777777">
            <w:pPr>
              <w:pStyle w:val="BodyText"/>
              <w:keepNext/>
              <w:keepLines/>
              <w:spacing w:before="120"/>
              <w:rPr>
                <w:rFonts w:eastAsia="PMingLiU" w:cs="Arial"/>
              </w:rPr>
            </w:pPr>
          </w:p>
          <w:tbl>
            <w:tblPr>
              <w:tblW w:w="9936" w:type="dxa"/>
              <w:tblCellMar>
                <w:left w:w="29" w:type="dxa"/>
                <w:right w:w="29" w:type="dxa"/>
              </w:tblCellMar>
              <w:tblLook w:val="0000" w:firstRow="0" w:lastRow="0" w:firstColumn="0" w:lastColumn="0" w:noHBand="0" w:noVBand="0"/>
            </w:tblPr>
            <w:tblGrid>
              <w:gridCol w:w="647"/>
              <w:gridCol w:w="4020"/>
              <w:gridCol w:w="362"/>
              <w:gridCol w:w="700"/>
              <w:gridCol w:w="4207"/>
            </w:tblGrid>
            <w:tr w:rsidRPr="00B71D5E" w:rsidR="00B36EC7" w14:paraId="27305966"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B71D5E" w:rsidR="00B36EC7" w:rsidP="006D127F" w:rsidRDefault="00B36EC7" w14:paraId="2792D3C3" w14:textId="77777777">
                  <w:pPr>
                    <w:keepNext/>
                    <w:keepLines/>
                    <w:spacing w:before="120" w:after="120" w:line="240" w:lineRule="auto"/>
                    <w:rPr>
                      <w:rFonts w:ascii="Arial" w:hAnsi="Arial" w:cs="Arial"/>
                      <w:b/>
                      <w:sz w:val="20"/>
                      <w:szCs w:val="20"/>
                    </w:rPr>
                  </w:pPr>
                  <w:r>
                    <w:rPr>
                      <w:rFonts w:ascii="Arial" w:hAnsi="Arial" w:cs="Arial"/>
                      <w:b/>
                      <w:sz w:val="20"/>
                      <w:szCs w:val="20"/>
                    </w:rPr>
                    <w:t>Georgia Power Company</w:t>
                  </w:r>
                </w:p>
              </w:tc>
              <w:tc>
                <w:tcPr>
                  <w:tcW w:w="362" w:type="dxa"/>
                  <w:tcBorders>
                    <w:top w:val="nil"/>
                    <w:left w:val="nil"/>
                    <w:bottom w:val="nil"/>
                    <w:right w:val="nil"/>
                  </w:tcBorders>
                  <w:tcMar>
                    <w:top w:w="0" w:type="dxa"/>
                    <w:left w:w="29" w:type="dxa"/>
                    <w:bottom w:w="0" w:type="dxa"/>
                    <w:right w:w="29" w:type="dxa"/>
                  </w:tcMar>
                </w:tcPr>
                <w:p w:rsidRPr="00B71D5E" w:rsidR="00B36EC7" w:rsidP="006D127F" w:rsidRDefault="00B36EC7" w14:paraId="46D29989" w14:textId="77777777">
                  <w:pPr>
                    <w:keepNext/>
                    <w:keepLines/>
                    <w:spacing w:before="120" w:after="120" w:line="240" w:lineRule="auto"/>
                    <w:rPr>
                      <w:rFonts w:ascii="Arial" w:hAnsi="Arial" w:cs="Arial"/>
                      <w:b/>
                      <w:sz w:val="20"/>
                      <w:szCs w:val="20"/>
                    </w:rPr>
                  </w:pPr>
                </w:p>
              </w:tc>
              <w:tc>
                <w:tcPr>
                  <w:tcW w:w="4907" w:type="dxa"/>
                  <w:gridSpan w:val="2"/>
                  <w:tcBorders>
                    <w:top w:val="nil"/>
                    <w:left w:val="nil"/>
                    <w:bottom w:val="nil"/>
                    <w:right w:val="nil"/>
                  </w:tcBorders>
                  <w:tcMar>
                    <w:top w:w="0" w:type="dxa"/>
                    <w:left w:w="29" w:type="dxa"/>
                    <w:bottom w:w="0" w:type="dxa"/>
                    <w:right w:w="29" w:type="dxa"/>
                  </w:tcMar>
                </w:tcPr>
                <w:p w:rsidRPr="00B71D5E" w:rsidR="00B36EC7" w:rsidP="006D127F" w:rsidRDefault="00B36EC7" w14:paraId="1858F15E" w14:textId="77777777">
                  <w:pPr>
                    <w:keepNext/>
                    <w:keepLines/>
                    <w:spacing w:before="120" w:after="120" w:line="240" w:lineRule="auto"/>
                    <w:rPr>
                      <w:rFonts w:ascii="Arial" w:hAnsi="Arial" w:cs="Arial"/>
                      <w:b/>
                      <w:sz w:val="20"/>
                      <w:szCs w:val="20"/>
                      <w:highlight w:val="yellow"/>
                    </w:rPr>
                  </w:pPr>
                  <w:r>
                    <w:rPr>
                      <w:rFonts w:ascii="Arial" w:hAnsi="Arial" w:cs="Arial"/>
                      <w:b/>
                      <w:sz w:val="20"/>
                      <w:szCs w:val="20"/>
                      <w:highlight w:val="yellow"/>
                    </w:rPr>
                    <w:t xml:space="preserve"> #SellerLegalName#</w:t>
                  </w:r>
                </w:p>
              </w:tc>
            </w:tr>
            <w:tr w:rsidRPr="00B71D5E" w:rsidR="00B36EC7" w:rsidTr="00360C3B" w14:paraId="7F53AD79"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04E26504" w14:textId="77777777">
                  <w:pPr>
                    <w:keepNext/>
                    <w:keepLines/>
                    <w:spacing w:before="120" w:after="120" w:line="240" w:lineRule="auto"/>
                    <w:jc w:val="center"/>
                    <w:rPr>
                      <w:rFonts w:ascii="Arial" w:hAnsi="Arial" w:cs="Arial"/>
                      <w:sz w:val="20"/>
                      <w:szCs w:val="20"/>
                    </w:rPr>
                  </w:pPr>
                  <w:r>
                    <w:rPr>
                      <w:rFonts w:ascii="Arial" w:hAnsi="Arial" w:cs="Arial"/>
                      <w:sz w:val="20"/>
                      <w:szCs w:val="20"/>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B36EC7" w:rsidP="006D127F" w:rsidRDefault="00B36EC7" w14:paraId="7C49FE73" w14:textId="77777777">
                  <w:pPr>
                    <w:keepNext/>
                    <w:keepLines/>
                    <w:spacing w:before="120" w:after="120" w:line="240" w:lineRule="auto"/>
                    <w:jc w:val="right"/>
                    <w:rPr>
                      <w:rFonts w:ascii="Arial" w:hAnsi="Arial" w:cs="Arial"/>
                      <w:sz w:val="20"/>
                      <w:szCs w:val="20"/>
                    </w:rPr>
                  </w:pP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3DB3843A" w14:textId="77777777">
                  <w:pPr>
                    <w:keepNext/>
                    <w:keepLines/>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2AE4880D" w14:textId="77777777">
                  <w:pPr>
                    <w:keepNext/>
                    <w:keepLines/>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B36EC7" w:rsidP="006D127F" w:rsidRDefault="00B36EC7" w14:paraId="1C44328B" w14:textId="77777777">
                  <w:pPr>
                    <w:keepNext/>
                    <w:keepLines/>
                    <w:spacing w:before="120" w:after="120" w:line="240" w:lineRule="auto"/>
                    <w:jc w:val="right"/>
                    <w:rPr>
                      <w:rFonts w:ascii="Arial" w:hAnsi="Arial" w:cs="Arial"/>
                      <w:b/>
                      <w:sz w:val="20"/>
                      <w:szCs w:val="20"/>
                      <w:u w:val="single"/>
                    </w:rPr>
                  </w:pPr>
                </w:p>
              </w:tc>
            </w:tr>
            <w:tr w:rsidRPr="00B71D5E" w:rsidR="00B36EC7" w:rsidTr="00A40DC0" w14:paraId="325B5F09" w14:textId="77777777">
              <w:tc>
                <w:tcPr>
                  <w:tcW w:w="647" w:type="dxa"/>
                  <w:tcBorders>
                    <w:left w:val="nil"/>
                    <w:bottom w:val="nil"/>
                    <w:right w:val="nil"/>
                  </w:tcBorders>
                  <w:tcMar>
                    <w:top w:w="0" w:type="dxa"/>
                    <w:left w:w="29" w:type="dxa"/>
                    <w:bottom w:w="0" w:type="dxa"/>
                    <w:right w:w="29" w:type="dxa"/>
                  </w:tcMar>
                  <w:vAlign w:val="bottom"/>
                </w:tcPr>
                <w:p w:rsidRPr="00B71D5E" w:rsidR="00B36EC7" w:rsidP="006D127F" w:rsidRDefault="00B36EC7" w14:paraId="4832F6E3" w14:textId="77777777">
                  <w:pPr>
                    <w:keepNext/>
                    <w:keepLines/>
                    <w:spacing w:before="120" w:after="120" w:line="240" w:lineRule="auto"/>
                    <w:jc w:val="right"/>
                    <w:rPr>
                      <w:rFonts w:ascii="Arial" w:hAnsi="Arial" w:cs="Arial"/>
                      <w:sz w:val="20"/>
                      <w:szCs w:val="20"/>
                    </w:rPr>
                  </w:pPr>
                </w:p>
              </w:tc>
              <w:tc>
                <w:tcPr>
                  <w:tcW w:w="4020" w:type="dxa"/>
                  <w:tcBorders>
                    <w:top w:val="single" w:color="auto" w:sz="4" w:space="0"/>
                    <w:left w:val="nil"/>
                    <w:bottom w:val="nil"/>
                    <w:right w:val="nil"/>
                  </w:tcBorders>
                  <w:tcMar>
                    <w:top w:w="0" w:type="dxa"/>
                    <w:left w:w="29" w:type="dxa"/>
                    <w:bottom w:w="0" w:type="dxa"/>
                    <w:right w:w="29" w:type="dxa"/>
                  </w:tcMar>
                  <w:vAlign w:val="bottom"/>
                </w:tcPr>
                <w:p w:rsidRPr="00B71D5E" w:rsidR="00B36EC7" w:rsidP="006D127F" w:rsidRDefault="00B36EC7" w14:paraId="66364D16" w14:textId="77777777">
                  <w:pPr>
                    <w:keepNext/>
                    <w:keepLines/>
                    <w:spacing w:before="120" w:after="120" w:line="240" w:lineRule="auto"/>
                    <w:rPr>
                      <w:rFonts w:ascii="Arial" w:hAnsi="Arial" w:cs="Arial"/>
                      <w:sz w:val="20"/>
                      <w:szCs w:val="20"/>
                      <w:highlight w:val="yellow"/>
                    </w:rPr>
                  </w:pPr>
                  <w:r>
                    <w:rPr>
                      <w:rFonts w:ascii="Arial" w:hAnsi="Arial" w:cs="Arial"/>
                      <w:sz w:val="20"/>
                      <w:szCs w:val="20"/>
                      <w:highlight w:val="yellow"/>
                    </w:rPr>
                    <w:t>#Name#</w:t>
                  </w:r>
                </w:p>
              </w:tc>
              <w:tc>
                <w:tcPr>
                  <w:tcW w:w="362" w:type="dxa"/>
                  <w:tcBorders>
                    <w:left w:val="nil"/>
                    <w:bottom w:val="nil"/>
                    <w:right w:val="nil"/>
                  </w:tcBorders>
                  <w:tcMar>
                    <w:top w:w="0" w:type="dxa"/>
                    <w:left w:w="29" w:type="dxa"/>
                    <w:bottom w:w="0" w:type="dxa"/>
                    <w:right w:w="29" w:type="dxa"/>
                  </w:tcMar>
                  <w:vAlign w:val="bottom"/>
                </w:tcPr>
                <w:p w:rsidRPr="00B71D5E" w:rsidR="00B36EC7" w:rsidP="006D127F" w:rsidRDefault="00B36EC7" w14:paraId="4C38310A" w14:textId="77777777">
                  <w:pPr>
                    <w:keepNext/>
                    <w:keepLines/>
                    <w:spacing w:before="120" w:after="120" w:line="240" w:lineRule="auto"/>
                    <w:rPr>
                      <w:rFonts w:ascii="Arial" w:hAnsi="Arial" w:cs="Arial"/>
                      <w:sz w:val="20"/>
                      <w:szCs w:val="20"/>
                      <w:highlight w:val="yellow"/>
                    </w:rPr>
                  </w:pPr>
                </w:p>
              </w:tc>
              <w:tc>
                <w:tcPr>
                  <w:tcW w:w="700" w:type="dxa"/>
                  <w:tcBorders>
                    <w:left w:val="nil"/>
                    <w:bottom w:val="nil"/>
                    <w:right w:val="nil"/>
                  </w:tcBorders>
                  <w:tcMar>
                    <w:top w:w="0" w:type="dxa"/>
                    <w:left w:w="29" w:type="dxa"/>
                    <w:bottom w:w="0" w:type="dxa"/>
                    <w:right w:w="29" w:type="dxa"/>
                  </w:tcMar>
                  <w:vAlign w:val="bottom"/>
                </w:tcPr>
                <w:p w:rsidRPr="00B71D5E" w:rsidR="00B36EC7" w:rsidP="006D127F" w:rsidRDefault="00B36EC7" w14:paraId="22BE23A0" w14:textId="77777777">
                  <w:pPr>
                    <w:keepNext/>
                    <w:keepLines/>
                    <w:spacing w:before="120" w:after="120" w:line="240" w:lineRule="auto"/>
                    <w:rPr>
                      <w:rFonts w:ascii="Arial" w:hAnsi="Arial" w:cs="Arial"/>
                      <w:sz w:val="20"/>
                      <w:szCs w:val="20"/>
                    </w:rPr>
                  </w:pPr>
                </w:p>
              </w:tc>
              <w:tc>
                <w:tcPr>
                  <w:tcW w:w="4207" w:type="dxa"/>
                  <w:tcBorders>
                    <w:top w:val="single" w:color="auto" w:sz="4" w:space="0"/>
                    <w:left w:val="nil"/>
                    <w:bottom w:val="nil"/>
                    <w:right w:val="nil"/>
                  </w:tcBorders>
                  <w:tcMar>
                    <w:top w:w="0" w:type="dxa"/>
                    <w:left w:w="29" w:type="dxa"/>
                    <w:bottom w:w="0" w:type="dxa"/>
                    <w:right w:w="29" w:type="dxa"/>
                  </w:tcMar>
                  <w:vAlign w:val="bottom"/>
                </w:tcPr>
                <w:p w:rsidRPr="00B71D5E" w:rsidR="00B36EC7" w:rsidP="006D127F" w:rsidRDefault="00B36EC7" w14:paraId="7369868A" w14:textId="77777777">
                  <w:pPr>
                    <w:keepNext/>
                    <w:keepLines/>
                    <w:spacing w:before="120" w:after="120" w:line="240" w:lineRule="auto"/>
                    <w:rPr>
                      <w:rFonts w:ascii="Arial" w:hAnsi="Arial" w:cs="Arial"/>
                      <w:sz w:val="20"/>
                      <w:szCs w:val="20"/>
                      <w:highlight w:val="yellow"/>
                    </w:rPr>
                  </w:pPr>
                  <w:r>
                    <w:rPr>
                      <w:rFonts w:ascii="Arial" w:hAnsi="Arial" w:cs="Arial"/>
                      <w:sz w:val="20"/>
                      <w:szCs w:val="20"/>
                      <w:highlight w:val="yellow"/>
                    </w:rPr>
                    <w:t>#SellerSignatureName#</w:t>
                  </w:r>
                </w:p>
              </w:tc>
            </w:tr>
            <w:tr w:rsidRPr="00B71D5E" w:rsidR="00B36EC7" w:rsidTr="00360C3B" w14:paraId="705CD584" w14:textId="77777777">
              <w:tc>
                <w:tcPr>
                  <w:tcW w:w="647"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76599C55" w14:textId="77777777">
                  <w:pPr>
                    <w:keepNext/>
                    <w:keepLines/>
                    <w:spacing w:before="120" w:after="120" w:line="240" w:lineRule="auto"/>
                    <w:jc w:val="right"/>
                    <w:rPr>
                      <w:rFonts w:ascii="Arial" w:hAnsi="Arial" w:cs="Arial"/>
                      <w:sz w:val="20"/>
                      <w:szCs w:val="20"/>
                    </w:rPr>
                  </w:pPr>
                </w:p>
              </w:tc>
              <w:tc>
                <w:tcPr>
                  <w:tcW w:w="4020" w:type="dxa"/>
                  <w:tcBorders>
                    <w:top w:val="nil"/>
                    <w:left w:val="nil"/>
                    <w:right w:val="nil"/>
                  </w:tcBorders>
                  <w:tcMar>
                    <w:top w:w="0" w:type="dxa"/>
                    <w:left w:w="29" w:type="dxa"/>
                    <w:bottom w:w="0" w:type="dxa"/>
                    <w:right w:w="29" w:type="dxa"/>
                  </w:tcMar>
                  <w:vAlign w:val="bottom"/>
                </w:tcPr>
                <w:p w:rsidRPr="00B71D5E" w:rsidR="00B36EC7" w:rsidP="006D127F" w:rsidRDefault="00B36EC7" w14:paraId="66CF4E54" w14:textId="77777777">
                  <w:pPr>
                    <w:keepNext/>
                    <w:keepLines/>
                    <w:spacing w:before="120" w:after="120" w:line="240" w:lineRule="auto"/>
                    <w:rPr>
                      <w:rFonts w:ascii="Arial" w:hAnsi="Arial" w:cs="Arial"/>
                      <w:sz w:val="20"/>
                      <w:szCs w:val="20"/>
                      <w:highlight w:val="yellow"/>
                    </w:rPr>
                  </w:pPr>
                  <w:r>
                    <w:rPr>
                      <w:rFonts w:ascii="Arial" w:hAnsi="Arial" w:cs="Arial"/>
                      <w:sz w:val="20"/>
                      <w:szCs w:val="20"/>
                      <w:highlight w:val="yellow"/>
                    </w:rPr>
                    <w:t>#Title#</w:t>
                  </w: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39FCEA9F" w14:textId="77777777">
                  <w:pPr>
                    <w:keepNext/>
                    <w:keepLines/>
                    <w:spacing w:before="120" w:after="120" w:line="240" w:lineRule="auto"/>
                    <w:rPr>
                      <w:rFonts w:ascii="Arial" w:hAnsi="Arial" w:cs="Arial"/>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36C1A423" w14:textId="77777777">
                  <w:pPr>
                    <w:keepNext/>
                    <w:keepLines/>
                    <w:spacing w:before="120" w:after="120" w:line="240" w:lineRule="auto"/>
                    <w:rPr>
                      <w:rFonts w:ascii="Arial" w:hAnsi="Arial" w:cs="Arial"/>
                      <w:sz w:val="20"/>
                      <w:szCs w:val="20"/>
                    </w:rPr>
                  </w:pPr>
                </w:p>
              </w:tc>
              <w:tc>
                <w:tcPr>
                  <w:tcW w:w="4207" w:type="dxa"/>
                  <w:tcBorders>
                    <w:top w:val="nil"/>
                    <w:left w:val="nil"/>
                    <w:right w:val="nil"/>
                  </w:tcBorders>
                  <w:tcMar>
                    <w:top w:w="0" w:type="dxa"/>
                    <w:left w:w="29" w:type="dxa"/>
                    <w:bottom w:w="0" w:type="dxa"/>
                    <w:right w:w="29" w:type="dxa"/>
                  </w:tcMar>
                  <w:vAlign w:val="bottom"/>
                </w:tcPr>
                <w:p w:rsidRPr="00B71D5E" w:rsidR="00B36EC7" w:rsidP="006D127F" w:rsidRDefault="00B36EC7" w14:paraId="3DC2AC68" w14:textId="77777777">
                  <w:pPr>
                    <w:keepNext/>
                    <w:keepLines/>
                    <w:spacing w:before="120" w:after="120" w:line="240" w:lineRule="auto"/>
                    <w:rPr>
                      <w:rFonts w:ascii="Arial" w:hAnsi="Arial" w:cs="Arial"/>
                      <w:sz w:val="20"/>
                      <w:szCs w:val="20"/>
                      <w:highlight w:val="yellow"/>
                    </w:rPr>
                  </w:pPr>
                  <w:r>
                    <w:rPr>
                      <w:rFonts w:ascii="Arial" w:hAnsi="Arial" w:cs="Arial"/>
                      <w:sz w:val="20"/>
                      <w:szCs w:val="20"/>
                      <w:highlight w:val="yellow"/>
                    </w:rPr>
                    <w:t>#SellerSignatureTitle#</w:t>
                  </w:r>
                </w:p>
              </w:tc>
            </w:tr>
            <w:tr w:rsidRPr="00B71D5E" w:rsidR="00B36EC7" w:rsidTr="00360C3B" w14:paraId="5039583A"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34780A96" w14:textId="77777777">
                  <w:pPr>
                    <w:keepNext/>
                    <w:keepLines/>
                    <w:spacing w:before="120" w:after="120" w:line="240" w:lineRule="auto"/>
                    <w:jc w:val="right"/>
                    <w:rPr>
                      <w:rFonts w:ascii="Arial" w:hAnsi="Arial" w:cs="Arial"/>
                      <w:sz w:val="20"/>
                      <w:szCs w:val="20"/>
                    </w:rPr>
                  </w:pPr>
                  <w:r>
                    <w:rPr>
                      <w:rFonts w:ascii="Arial" w:hAnsi="Arial" w:cs="Arial"/>
                      <w:sz w:val="20"/>
                      <w:szCs w:val="20"/>
                    </w:rPr>
                    <w:t>Date:</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B36EC7" w:rsidP="006D127F" w:rsidRDefault="00B36EC7" w14:paraId="7C3AEA0A" w14:textId="77777777">
                  <w:pPr>
                    <w:keepNext/>
                    <w:keepLines/>
                    <w:spacing w:before="120" w:after="120" w:line="240" w:lineRule="auto"/>
                    <w:jc w:val="right"/>
                    <w:rPr>
                      <w:rFonts w:ascii="Arial" w:hAnsi="Arial" w:cs="Arial"/>
                      <w:b/>
                      <w:sz w:val="20"/>
                      <w:szCs w:val="20"/>
                      <w:u w:val="single"/>
                    </w:rPr>
                  </w:pP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7B3181C2" w14:textId="77777777">
                  <w:pPr>
                    <w:keepNext/>
                    <w:keepLines/>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6D127F" w:rsidRDefault="00B36EC7" w14:paraId="354BE0B2" w14:textId="77777777">
                  <w:pPr>
                    <w:keepNext/>
                    <w:keepLines/>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B36EC7" w:rsidP="006D127F" w:rsidRDefault="00B36EC7" w14:paraId="3AF7D1D3" w14:textId="77777777">
                  <w:pPr>
                    <w:keepNext/>
                    <w:keepLines/>
                    <w:spacing w:before="120" w:after="120" w:line="240" w:lineRule="auto"/>
                    <w:jc w:val="right"/>
                    <w:rPr>
                      <w:rFonts w:ascii="Arial" w:hAnsi="Arial" w:cs="Arial"/>
                      <w:b/>
                      <w:sz w:val="20"/>
                      <w:szCs w:val="20"/>
                      <w:u w:val="single"/>
                    </w:rPr>
                  </w:pPr>
                </w:p>
              </w:tc>
            </w:tr>
          </w:tbl>
          <w:p w:rsidRPr="00B71D5E" w:rsidR="00B36EC7" w:rsidP="006D127F" w:rsidRDefault="00B36EC7" w14:paraId="42FA9B56" w14:textId="77777777">
            <w:pPr>
              <w:keepNext/>
              <w:keepLines/>
              <w:spacing w:before="120" w:after="120"/>
              <w:rPr>
                <w:rFonts w:cs="Arial"/>
                <w:b/>
                <w:u w:val="single"/>
              </w:rPr>
            </w:pPr>
          </w:p>
          <w:p w:rsidRPr="00B71D5E" w:rsidR="00B36EC7" w:rsidP="006D127F" w:rsidRDefault="00B36EC7" w14:paraId="23260C29" w14:textId="77777777">
            <w:pPr>
              <w:keepNext/>
              <w:keepLines/>
              <w:tabs>
                <w:tab w:val="left" w:pos="3600"/>
                <w:tab w:val="left" w:pos="5040"/>
                <w:tab w:val="left" w:pos="9350"/>
              </w:tabs>
              <w:spacing w:before="120" w:after="120"/>
              <w:rPr>
                <w:rFonts w:eastAsia="Calibri" w:cs="Arial"/>
                <w:b/>
              </w:rPr>
            </w:pPr>
          </w:p>
        </w:tc>
      </w:tr>
      <w:bookmarkEnd w:id="701"/>
    </w:tbl>
    <w:p w:rsidRPr="00B71D5E" w:rsidR="00B36EC7" w:rsidP="00B71D5E" w:rsidRDefault="00B36EC7" w14:paraId="6090F440" w14:textId="77777777">
      <w:pPr>
        <w:pStyle w:val="BodyText"/>
        <w:spacing w:before="120" w:line="240" w:lineRule="auto"/>
        <w:rPr>
          <w:rFonts w:ascii="Arial" w:hAnsi="Arial" w:cs="Arial"/>
          <w:sz w:val="20"/>
          <w:szCs w:val="20"/>
        </w:rPr>
      </w:pPr>
    </w:p>
    <w:p w:rsidRPr="00B71D5E" w:rsidR="00B36EC7" w:rsidP="00B71D5E" w:rsidRDefault="00B36EC7" w14:paraId="33F73037" w14:textId="77777777">
      <w:pPr>
        <w:spacing w:before="120" w:after="120" w:line="240" w:lineRule="auto"/>
        <w:rPr>
          <w:rFonts w:ascii="Arial" w:hAnsi="Arial" w:cs="Arial"/>
          <w:sz w:val="20"/>
          <w:szCs w:val="20"/>
        </w:rPr>
      </w:pPr>
      <w:r>
        <w:rPr>
          <w:rFonts w:ascii="Arial" w:hAnsi="Arial" w:cs="Arial"/>
          <w:sz w:val="20"/>
          <w:szCs w:val="20"/>
        </w:rPr>
        <w:br w:type="page"/>
      </w:r>
    </w:p>
    <w:p w:rsidRPr="00B71D5E" w:rsidR="00B36EC7" w:rsidP="00B71D5E" w:rsidRDefault="003B334F" w14:paraId="2D017636" w14:textId="63EA57C0">
      <w:pPr>
        <w:pStyle w:val="zGTitleExhibit"/>
        <w:rPr>
          <w:rFonts w:cs="Arial"/>
        </w:rPr>
      </w:pPr>
      <w:bookmarkStart w:name="_Toc181639518" w:id="702"/>
      <w:bookmarkStart w:name="_Toc214644838" w:id="703"/>
      <w:r>
        <w:rPr>
          <w:rFonts w:cs="Arial"/>
        </w:rPr>
        <w:lastRenderedPageBreak/>
        <w:t xml:space="preserve">Exhibit </w:t>
      </w:r>
      <w:r w:rsidR="009B029D">
        <w:rPr>
          <w:rFonts w:cs="Arial"/>
        </w:rPr>
        <w:t>F</w:t>
      </w:r>
      <w:r>
        <w:rPr>
          <w:rFonts w:cs="Arial"/>
        </w:rPr>
        <w:t xml:space="preserve"> – form of lease assignment </w:t>
      </w:r>
      <w:r w:rsidR="00B36EC7">
        <w:rPr>
          <w:rFonts w:cs="Arial"/>
        </w:rPr>
        <w:t>Consent</w:t>
      </w:r>
      <w:bookmarkEnd w:id="702"/>
      <w:bookmarkEnd w:id="703"/>
    </w:p>
    <w:p w:rsidRPr="00B71D5E" w:rsidR="00B36EC7" w:rsidP="002234EE" w:rsidRDefault="00B36EC7" w14:paraId="2C20D35B" w14:textId="7239FF3C">
      <w:pPr>
        <w:spacing w:before="120" w:after="120" w:line="240" w:lineRule="auto"/>
        <w:jc w:val="both"/>
        <w:rPr>
          <w:rFonts w:ascii="Arial" w:hAnsi="Arial" w:cs="Arial"/>
          <w:sz w:val="20"/>
          <w:szCs w:val="20"/>
        </w:rPr>
      </w:pPr>
      <w:r>
        <w:rPr>
          <w:rFonts w:ascii="Arial" w:hAnsi="Arial" w:cs="Arial"/>
          <w:sz w:val="20"/>
          <w:szCs w:val="20"/>
        </w:rPr>
        <w:t>This</w:t>
      </w:r>
      <w:r>
        <w:rPr>
          <w:rFonts w:ascii="Arial" w:hAnsi="Arial" w:cs="Arial"/>
          <w:b/>
          <w:bCs/>
          <w:sz w:val="20"/>
          <w:szCs w:val="20"/>
        </w:rPr>
        <w:t xml:space="preserve"> Lease Assignment Consent</w:t>
      </w:r>
      <w:r>
        <w:rPr>
          <w:rFonts w:ascii="Arial" w:hAnsi="Arial" w:cs="Arial"/>
          <w:sz w:val="20"/>
          <w:szCs w:val="20"/>
        </w:rPr>
        <w:t xml:space="preserve"> (“</w:t>
      </w:r>
      <w:r>
        <w:rPr>
          <w:rFonts w:ascii="Arial" w:hAnsi="Arial" w:cs="Arial"/>
          <w:b/>
          <w:bCs/>
          <w:sz w:val="20"/>
          <w:szCs w:val="20"/>
        </w:rPr>
        <w:t>Consent</w:t>
      </w:r>
      <w:r>
        <w:rPr>
          <w:rFonts w:ascii="Arial" w:hAnsi="Arial" w:cs="Arial"/>
          <w:sz w:val="20"/>
          <w:szCs w:val="20"/>
        </w:rPr>
        <w:t>”), dated as of ___________, 20__ (“</w:t>
      </w:r>
      <w:r>
        <w:rPr>
          <w:rFonts w:ascii="Arial" w:hAnsi="Arial" w:cs="Arial"/>
          <w:b/>
          <w:sz w:val="20"/>
          <w:szCs w:val="20"/>
        </w:rPr>
        <w:t>Closing Date</w:t>
      </w:r>
      <w:r>
        <w:rPr>
          <w:rFonts w:ascii="Arial" w:hAnsi="Arial" w:cs="Arial"/>
          <w:sz w:val="20"/>
          <w:szCs w:val="20"/>
        </w:rPr>
        <w:t xml:space="preserve">”) is entered into by </w:t>
      </w:r>
      <w:r>
        <w:rPr>
          <w:rFonts w:ascii="Arial" w:hAnsi="Arial" w:cs="Arial"/>
          <w:b/>
          <w:sz w:val="20"/>
          <w:szCs w:val="20"/>
          <w:highlight w:val="yellow"/>
        </w:rPr>
        <w:t>#LandlordLegalName#</w:t>
      </w:r>
      <w:r>
        <w:rPr>
          <w:rFonts w:ascii="Arial" w:hAnsi="Arial" w:cs="Arial"/>
          <w:sz w:val="20"/>
          <w:szCs w:val="20"/>
        </w:rPr>
        <w:t>, #</w:t>
      </w:r>
      <w:r>
        <w:rPr>
          <w:rFonts w:ascii="Arial" w:hAnsi="Arial" w:cs="Arial"/>
          <w:color w:val="000000"/>
          <w:sz w:val="20"/>
          <w:szCs w:val="20"/>
          <w:highlight w:val="yellow"/>
        </w:rPr>
        <w:t>a</w:t>
      </w:r>
      <w:r>
        <w:rPr>
          <w:rFonts w:ascii="Arial" w:hAnsi="Arial" w:cs="Arial"/>
          <w:color w:val="000000"/>
          <w:sz w:val="20"/>
          <w:szCs w:val="20"/>
        </w:rPr>
        <w:t>/</w:t>
      </w:r>
      <w:r>
        <w:rPr>
          <w:rFonts w:ascii="Arial" w:hAnsi="Arial" w:cs="Arial"/>
          <w:color w:val="000000"/>
          <w:sz w:val="20"/>
          <w:szCs w:val="20"/>
          <w:highlight w:val="yellow"/>
        </w:rPr>
        <w:t>an#</w:t>
      </w:r>
      <w:r>
        <w:rPr>
          <w:rFonts w:ascii="Arial" w:hAnsi="Arial" w:cs="Arial"/>
          <w:sz w:val="20"/>
          <w:szCs w:val="20"/>
        </w:rPr>
        <w:t xml:space="preserve"> </w:t>
      </w:r>
      <w:r>
        <w:rPr>
          <w:rFonts w:ascii="Arial" w:hAnsi="Arial" w:cs="Arial"/>
          <w:sz w:val="20"/>
          <w:szCs w:val="20"/>
          <w:highlight w:val="yellow"/>
        </w:rPr>
        <w:t>#OrgState#</w:t>
      </w:r>
      <w:r>
        <w:rPr>
          <w:rFonts w:ascii="Arial" w:hAnsi="Arial" w:cs="Arial"/>
          <w:sz w:val="20"/>
          <w:szCs w:val="20"/>
        </w:rPr>
        <w:t xml:space="preserve"> </w:t>
      </w:r>
      <w:r>
        <w:rPr>
          <w:rFonts w:ascii="Arial" w:hAnsi="Arial" w:cs="Arial"/>
          <w:sz w:val="20"/>
          <w:szCs w:val="20"/>
          <w:highlight w:val="yellow"/>
        </w:rPr>
        <w:t>#limited liability company#</w:t>
      </w:r>
      <w:r>
        <w:rPr>
          <w:rFonts w:ascii="Arial" w:hAnsi="Arial" w:cs="Arial"/>
          <w:sz w:val="20"/>
          <w:szCs w:val="20"/>
        </w:rPr>
        <w:t xml:space="preserve"> </w:t>
      </w:r>
      <w:r>
        <w:rPr>
          <w:rFonts w:ascii="Arial" w:hAnsi="Arial" w:cs="Arial"/>
          <w:b/>
          <w:i/>
          <w:iCs/>
          <w:color w:val="FF0000"/>
          <w:sz w:val="20"/>
          <w:szCs w:val="20"/>
          <w:highlight w:val="cyan"/>
          <w:u w:val="single"/>
        </w:rPr>
        <w:t>OR</w:t>
      </w:r>
      <w:r>
        <w:rPr>
          <w:rFonts w:ascii="Arial" w:hAnsi="Arial" w:cs="Arial"/>
          <w:b/>
          <w:i/>
          <w:sz w:val="20"/>
          <w:szCs w:val="20"/>
        </w:rPr>
        <w:t xml:space="preserve"> </w:t>
      </w:r>
      <w:r>
        <w:rPr>
          <w:rFonts w:ascii="Arial" w:hAnsi="Arial" w:cs="Arial"/>
          <w:sz w:val="20"/>
          <w:szCs w:val="20"/>
          <w:highlight w:val="yellow"/>
        </w:rPr>
        <w:t>#OtherOrgStructure#</w:t>
      </w:r>
      <w:r>
        <w:rPr>
          <w:rFonts w:ascii="Arial" w:hAnsi="Arial" w:cs="Arial"/>
          <w:sz w:val="20"/>
          <w:szCs w:val="20"/>
        </w:rPr>
        <w:t xml:space="preserve"> (“</w:t>
      </w:r>
      <w:r>
        <w:rPr>
          <w:rFonts w:ascii="Arial" w:hAnsi="Arial" w:cs="Arial"/>
          <w:b/>
          <w:bCs/>
          <w:sz w:val="20"/>
          <w:szCs w:val="20"/>
        </w:rPr>
        <w:t>Landlord</w:t>
      </w:r>
      <w:r>
        <w:rPr>
          <w:rFonts w:ascii="Arial" w:hAnsi="Arial" w:cs="Arial"/>
          <w:sz w:val="20"/>
          <w:szCs w:val="20"/>
        </w:rPr>
        <w:t xml:space="preserve">”) and </w:t>
      </w:r>
      <w:r>
        <w:rPr>
          <w:rFonts w:ascii="Arial" w:hAnsi="Arial" w:cs="Arial"/>
          <w:b/>
          <w:sz w:val="20"/>
          <w:szCs w:val="20"/>
          <w:highlight w:val="yellow"/>
        </w:rPr>
        <w:t>#TenantLegalName#</w:t>
      </w:r>
      <w:r>
        <w:rPr>
          <w:rFonts w:ascii="Arial" w:hAnsi="Arial" w:cs="Arial"/>
          <w:sz w:val="20"/>
          <w:szCs w:val="20"/>
        </w:rPr>
        <w:t>, #</w:t>
      </w:r>
      <w:r>
        <w:rPr>
          <w:rFonts w:ascii="Arial" w:hAnsi="Arial" w:cs="Arial"/>
          <w:color w:val="000000"/>
          <w:sz w:val="20"/>
          <w:szCs w:val="20"/>
          <w:highlight w:val="yellow"/>
        </w:rPr>
        <w:t>a</w:t>
      </w:r>
      <w:r>
        <w:rPr>
          <w:rFonts w:ascii="Arial" w:hAnsi="Arial" w:cs="Arial"/>
          <w:color w:val="000000"/>
          <w:sz w:val="20"/>
          <w:szCs w:val="20"/>
        </w:rPr>
        <w:t>/</w:t>
      </w:r>
      <w:r>
        <w:rPr>
          <w:rFonts w:ascii="Arial" w:hAnsi="Arial" w:cs="Arial"/>
          <w:color w:val="000000"/>
          <w:sz w:val="20"/>
          <w:szCs w:val="20"/>
          <w:highlight w:val="yellow"/>
        </w:rPr>
        <w:t>an#</w:t>
      </w:r>
      <w:r>
        <w:rPr>
          <w:rFonts w:ascii="Arial" w:hAnsi="Arial" w:cs="Arial"/>
          <w:sz w:val="20"/>
          <w:szCs w:val="20"/>
        </w:rPr>
        <w:t xml:space="preserve"> </w:t>
      </w:r>
      <w:r>
        <w:rPr>
          <w:rFonts w:ascii="Arial" w:hAnsi="Arial" w:cs="Arial"/>
          <w:sz w:val="20"/>
          <w:szCs w:val="20"/>
          <w:highlight w:val="yellow"/>
        </w:rPr>
        <w:t>#OrgState#</w:t>
      </w:r>
      <w:r>
        <w:rPr>
          <w:rFonts w:ascii="Arial" w:hAnsi="Arial" w:cs="Arial"/>
          <w:sz w:val="20"/>
          <w:szCs w:val="20"/>
        </w:rPr>
        <w:t xml:space="preserve"> </w:t>
      </w:r>
      <w:r>
        <w:rPr>
          <w:rFonts w:ascii="Arial" w:hAnsi="Arial" w:cs="Arial"/>
          <w:sz w:val="20"/>
          <w:szCs w:val="20"/>
          <w:highlight w:val="yellow"/>
        </w:rPr>
        <w:t>#limited liability company#</w:t>
      </w:r>
      <w:r>
        <w:rPr>
          <w:rFonts w:ascii="Arial" w:hAnsi="Arial" w:cs="Arial"/>
          <w:sz w:val="20"/>
          <w:szCs w:val="20"/>
        </w:rPr>
        <w:t xml:space="preserve"> </w:t>
      </w:r>
      <w:r>
        <w:rPr>
          <w:rFonts w:ascii="Arial" w:hAnsi="Arial" w:cs="Arial"/>
          <w:b/>
          <w:i/>
          <w:iCs/>
          <w:color w:val="FF0000"/>
          <w:sz w:val="20"/>
          <w:szCs w:val="20"/>
          <w:highlight w:val="cyan"/>
          <w:u w:val="single"/>
        </w:rPr>
        <w:t>OR</w:t>
      </w:r>
      <w:r>
        <w:rPr>
          <w:rFonts w:ascii="Arial" w:hAnsi="Arial" w:cs="Arial"/>
          <w:b/>
          <w:i/>
          <w:sz w:val="20"/>
          <w:szCs w:val="20"/>
        </w:rPr>
        <w:t xml:space="preserve"> </w:t>
      </w:r>
      <w:r>
        <w:rPr>
          <w:rFonts w:ascii="Arial" w:hAnsi="Arial" w:cs="Arial"/>
          <w:sz w:val="20"/>
          <w:szCs w:val="20"/>
          <w:highlight w:val="yellow"/>
        </w:rPr>
        <w:t>#OtherOrgStructure#</w:t>
      </w:r>
      <w:r>
        <w:rPr>
          <w:rFonts w:ascii="Arial" w:hAnsi="Arial" w:cs="Arial"/>
          <w:sz w:val="20"/>
          <w:szCs w:val="20"/>
        </w:rPr>
        <w:t xml:space="preserve"> (“</w:t>
      </w:r>
      <w:r>
        <w:rPr>
          <w:rFonts w:ascii="Arial" w:hAnsi="Arial" w:cs="Arial"/>
          <w:b/>
          <w:bCs/>
          <w:sz w:val="20"/>
          <w:szCs w:val="20"/>
        </w:rPr>
        <w:t>Tenant</w:t>
      </w:r>
      <w:r>
        <w:rPr>
          <w:rFonts w:ascii="Arial" w:hAnsi="Arial" w:cs="Arial"/>
          <w:sz w:val="20"/>
          <w:szCs w:val="20"/>
        </w:rPr>
        <w:t xml:space="preserve">”). Landlord and Tenant are each sometimes referred to in this Consent individually </w:t>
      </w:r>
      <w:r>
        <w:rPr>
          <w:rFonts w:ascii="Arial" w:hAnsi="Arial" w:cs="Arial"/>
          <w:color w:val="151210"/>
          <w:sz w:val="20"/>
          <w:szCs w:val="20"/>
        </w:rPr>
        <w:t xml:space="preserve">as </w:t>
      </w:r>
      <w:r>
        <w:rPr>
          <w:rFonts w:ascii="Arial" w:hAnsi="Arial" w:cs="Arial"/>
          <w:color w:val="040404"/>
          <w:sz w:val="20"/>
          <w:szCs w:val="20"/>
        </w:rPr>
        <w:t>a “</w:t>
      </w:r>
      <w:r>
        <w:rPr>
          <w:rFonts w:ascii="Arial" w:hAnsi="Arial" w:cs="Arial"/>
          <w:b/>
          <w:sz w:val="20"/>
          <w:szCs w:val="20"/>
        </w:rPr>
        <w:t>Party</w:t>
      </w:r>
      <w:r>
        <w:rPr>
          <w:rFonts w:ascii="Arial" w:hAnsi="Arial" w:cs="Arial"/>
          <w:color w:val="040404"/>
          <w:sz w:val="20"/>
          <w:szCs w:val="20"/>
        </w:rPr>
        <w:t xml:space="preserve">” and collectively as the </w:t>
      </w:r>
      <w:r>
        <w:rPr>
          <w:rFonts w:ascii="Arial" w:hAnsi="Arial" w:cs="Arial"/>
          <w:color w:val="151210"/>
          <w:sz w:val="20"/>
          <w:szCs w:val="20"/>
        </w:rPr>
        <w:t>“</w:t>
      </w:r>
      <w:r>
        <w:rPr>
          <w:rFonts w:ascii="Arial" w:hAnsi="Arial" w:cs="Arial"/>
          <w:b/>
          <w:sz w:val="20"/>
          <w:szCs w:val="20"/>
        </w:rPr>
        <w:t>Parties</w:t>
      </w:r>
      <w:r>
        <w:rPr>
          <w:rFonts w:ascii="Arial" w:hAnsi="Arial" w:cs="Arial"/>
          <w:sz w:val="20"/>
          <w:szCs w:val="20"/>
        </w:rPr>
        <w:t>.” Landlord and Tenant acknowledge as follows:</w:t>
      </w:r>
    </w:p>
    <w:p w:rsidRPr="00B71D5E" w:rsidR="00B36EC7" w:rsidP="00EC532C" w:rsidRDefault="00B36EC7" w14:paraId="02590674" w14:textId="26C329D4">
      <w:pPr>
        <w:pStyle w:val="BodyText"/>
        <w:numPr>
          <w:ilvl w:val="0"/>
          <w:numId w:val="12"/>
        </w:numPr>
        <w:spacing w:before="120" w:line="240" w:lineRule="auto"/>
        <w:jc w:val="both"/>
        <w:rPr>
          <w:rFonts w:ascii="Arial" w:hAnsi="Arial" w:cs="Arial"/>
          <w:sz w:val="20"/>
          <w:szCs w:val="20"/>
        </w:rPr>
      </w:pPr>
      <w:r>
        <w:rPr>
          <w:rFonts w:ascii="Arial" w:hAnsi="Arial" w:cs="Arial"/>
          <w:sz w:val="20"/>
          <w:szCs w:val="20"/>
        </w:rPr>
        <w:t xml:space="preserve">Landlord and Tenant have entered into a Lease Agreement, dated as of </w:t>
      </w:r>
      <w:r>
        <w:rPr>
          <w:rFonts w:ascii="Arial" w:hAnsi="Arial" w:cs="Arial"/>
          <w:sz w:val="20"/>
          <w:szCs w:val="20"/>
          <w:highlight w:val="yellow"/>
        </w:rPr>
        <w:t>#Date#</w:t>
      </w:r>
      <w:r>
        <w:rPr>
          <w:rFonts w:ascii="Arial" w:hAnsi="Arial" w:cs="Arial"/>
          <w:sz w:val="20"/>
          <w:szCs w:val="20"/>
        </w:rPr>
        <w:t>, which is attached to this Consent as Exhibit A (“</w:t>
      </w:r>
      <w:r>
        <w:rPr>
          <w:rFonts w:ascii="Arial" w:hAnsi="Arial" w:cs="Arial"/>
          <w:b/>
          <w:bCs/>
          <w:sz w:val="20"/>
          <w:szCs w:val="20"/>
        </w:rPr>
        <w:t>Lease</w:t>
      </w:r>
      <w:r>
        <w:rPr>
          <w:rFonts w:ascii="Arial" w:hAnsi="Arial" w:cs="Arial"/>
          <w:sz w:val="20"/>
          <w:szCs w:val="20"/>
        </w:rPr>
        <w:t>”</w:t>
      </w:r>
      <w:proofErr w:type="gramStart"/>
      <w:r>
        <w:rPr>
          <w:rFonts w:ascii="Arial" w:hAnsi="Arial" w:cs="Arial"/>
          <w:sz w:val="20"/>
          <w:szCs w:val="20"/>
        </w:rPr>
        <w:t>);</w:t>
      </w:r>
      <w:proofErr w:type="gramEnd"/>
    </w:p>
    <w:p w:rsidRPr="00B71D5E" w:rsidR="00B36EC7" w:rsidP="00EC532C" w:rsidRDefault="00B36EC7" w14:paraId="2C59530E" w14:textId="74A1E8DA">
      <w:pPr>
        <w:pStyle w:val="BodyText"/>
        <w:numPr>
          <w:ilvl w:val="0"/>
          <w:numId w:val="12"/>
        </w:numPr>
        <w:spacing w:before="120" w:line="240" w:lineRule="auto"/>
        <w:jc w:val="both"/>
        <w:rPr>
          <w:rFonts w:ascii="Arial" w:hAnsi="Arial" w:cs="Arial"/>
          <w:sz w:val="20"/>
          <w:szCs w:val="20"/>
        </w:rPr>
      </w:pPr>
      <w:r>
        <w:rPr>
          <w:rFonts w:ascii="Arial" w:hAnsi="Arial" w:cs="Arial"/>
          <w:sz w:val="20"/>
          <w:szCs w:val="20"/>
        </w:rPr>
        <w:t>Tenant and Georgia Power Company (“</w:t>
      </w:r>
      <w:r>
        <w:rPr>
          <w:rFonts w:ascii="Arial" w:hAnsi="Arial" w:cs="Arial"/>
          <w:b/>
          <w:bCs/>
          <w:sz w:val="20"/>
          <w:szCs w:val="20"/>
        </w:rPr>
        <w:t>GPC</w:t>
      </w:r>
      <w:r>
        <w:rPr>
          <w:rFonts w:ascii="Arial" w:hAnsi="Arial" w:cs="Arial"/>
          <w:sz w:val="20"/>
          <w:szCs w:val="20"/>
        </w:rPr>
        <w:t xml:space="preserve">”) have entered into an </w:t>
      </w:r>
      <w:r>
        <w:rPr>
          <w:rFonts w:ascii="Arial" w:hAnsi="Arial" w:eastAsia="Times New Roman" w:cs="Arial"/>
          <w:b/>
          <w:bCs/>
          <w:sz w:val="20"/>
          <w:szCs w:val="20"/>
        </w:rPr>
        <w:t xml:space="preserve">Asset Purchase </w:t>
      </w:r>
      <w:r>
        <w:rPr>
          <w:rFonts w:ascii="Arial" w:hAnsi="Arial" w:eastAsia="Calibri" w:cs="Arial"/>
          <w:b/>
          <w:bCs/>
          <w:sz w:val="20"/>
          <w:szCs w:val="20"/>
        </w:rPr>
        <w:t xml:space="preserve">Agreement for </w:t>
      </w:r>
      <w:r w:rsidR="004470A1">
        <w:rPr>
          <w:rFonts w:ascii="Arial" w:hAnsi="Arial" w:eastAsia="Calibri" w:cs="Arial"/>
          <w:b/>
          <w:bCs/>
          <w:sz w:val="20"/>
          <w:szCs w:val="20"/>
        </w:rPr>
        <w:t xml:space="preserve">2026 All-Source Capacity Request for Proposals for Need Years </w:t>
      </w:r>
      <w:r>
        <w:rPr>
          <w:rFonts w:ascii="Arial" w:hAnsi="Arial" w:eastAsia="Calibri" w:cs="Arial"/>
          <w:b/>
          <w:bCs/>
          <w:sz w:val="20"/>
          <w:szCs w:val="20"/>
        </w:rPr>
        <w:t>2032</w:t>
      </w:r>
      <w:r w:rsidR="004470A1">
        <w:rPr>
          <w:rFonts w:ascii="Arial" w:hAnsi="Arial" w:cs="Arial"/>
          <w:sz w:val="16"/>
          <w:szCs w:val="16"/>
        </w:rPr>
        <w:t>–</w:t>
      </w:r>
      <w:r>
        <w:rPr>
          <w:rFonts w:ascii="Arial" w:hAnsi="Arial" w:eastAsia="Calibri" w:cs="Arial"/>
          <w:b/>
          <w:bCs/>
          <w:sz w:val="20"/>
          <w:szCs w:val="20"/>
        </w:rPr>
        <w:t xml:space="preserve">2033 at </w:t>
      </w:r>
      <w:r>
        <w:rPr>
          <w:rFonts w:ascii="Arial" w:hAnsi="Arial" w:eastAsia="Calibri" w:cs="Arial"/>
          <w:b/>
          <w:bCs/>
          <w:sz w:val="20"/>
          <w:szCs w:val="20"/>
          <w:highlight w:val="yellow"/>
        </w:rPr>
        <w:t>#FacilityName#</w:t>
      </w:r>
      <w:r>
        <w:rPr>
          <w:rFonts w:ascii="Arial" w:hAnsi="Arial" w:eastAsia="Calibri" w:cs="Arial"/>
          <w:b/>
          <w:bCs/>
          <w:sz w:val="20"/>
          <w:szCs w:val="20"/>
        </w:rPr>
        <w:t xml:space="preserve"> </w:t>
      </w:r>
      <w:r>
        <w:rPr>
          <w:rFonts w:ascii="Arial" w:hAnsi="Arial" w:cs="Arial"/>
          <w:sz w:val="20"/>
          <w:szCs w:val="20"/>
        </w:rPr>
        <w:t>(“</w:t>
      </w:r>
      <w:r>
        <w:rPr>
          <w:rFonts w:ascii="Arial" w:hAnsi="Arial" w:cs="Arial"/>
          <w:b/>
          <w:bCs/>
          <w:sz w:val="20"/>
          <w:szCs w:val="20"/>
        </w:rPr>
        <w:t>APA</w:t>
      </w:r>
      <w:r>
        <w:rPr>
          <w:rFonts w:ascii="Arial" w:hAnsi="Arial" w:cs="Arial"/>
          <w:sz w:val="20"/>
          <w:szCs w:val="20"/>
        </w:rPr>
        <w:t>”), where Tenant will sell, convey, transfer, assign, and deliver to GPC all of Tenant’s right, title, and interest in and to the Lease; and</w:t>
      </w:r>
    </w:p>
    <w:p w:rsidRPr="00B71D5E" w:rsidR="00B36EC7" w:rsidP="00EC532C" w:rsidRDefault="00B36EC7" w14:paraId="79D3FB6E" w14:textId="77777777">
      <w:pPr>
        <w:pStyle w:val="BodyText"/>
        <w:numPr>
          <w:ilvl w:val="0"/>
          <w:numId w:val="12"/>
        </w:numPr>
        <w:spacing w:before="120" w:line="240" w:lineRule="auto"/>
        <w:jc w:val="both"/>
        <w:rPr>
          <w:rFonts w:ascii="Arial" w:hAnsi="Arial" w:cs="Arial"/>
          <w:sz w:val="20"/>
          <w:szCs w:val="20"/>
        </w:rPr>
      </w:pPr>
      <w:r>
        <w:rPr>
          <w:rFonts w:ascii="Arial" w:hAnsi="Arial" w:cs="Arial"/>
          <w:sz w:val="20"/>
          <w:szCs w:val="20"/>
        </w:rPr>
        <w:t>Landlord and Tenant are executing and delivering this Consent to evidence the consent of Landlord to the assignment of the Lease from Tenant to GPC.</w:t>
      </w:r>
    </w:p>
    <w:p w:rsidRPr="00B71D5E" w:rsidR="00B36EC7" w:rsidP="00142BE8" w:rsidRDefault="00B36EC7" w14:paraId="54619668" w14:textId="77777777">
      <w:pPr>
        <w:pStyle w:val="BodyText"/>
        <w:spacing w:before="120" w:line="240" w:lineRule="auto"/>
        <w:jc w:val="both"/>
        <w:rPr>
          <w:rFonts w:ascii="Arial" w:hAnsi="Arial" w:cs="Arial"/>
          <w:sz w:val="20"/>
          <w:szCs w:val="20"/>
        </w:rPr>
      </w:pPr>
      <w:r>
        <w:rPr>
          <w:rFonts w:ascii="Arial" w:hAnsi="Arial" w:cs="Arial"/>
          <w:sz w:val="20"/>
          <w:szCs w:val="20"/>
        </w:rPr>
        <w:t>In consideration of the mutual covenants contained in this Consent and for other good and valuable consideration, the receipt and sufficiency of which are acknowledged, Landlord and Tenant agree as follows:</w:t>
      </w:r>
    </w:p>
    <w:p w:rsidRPr="00B71D5E" w:rsidR="00B36EC7" w:rsidP="00A63284" w:rsidRDefault="00B36EC7" w14:paraId="660D1EE0" w14:textId="77777777">
      <w:pPr>
        <w:pStyle w:val="BodyText"/>
        <w:numPr>
          <w:ilvl w:val="1"/>
          <w:numId w:val="35"/>
        </w:numPr>
        <w:spacing w:before="120" w:line="240" w:lineRule="auto"/>
        <w:jc w:val="both"/>
        <w:rPr>
          <w:rFonts w:ascii="Arial" w:hAnsi="Arial" w:cs="Arial"/>
          <w:vanish/>
          <w:sz w:val="20"/>
          <w:szCs w:val="20"/>
          <w:specVanish/>
        </w:rPr>
      </w:pPr>
      <w:r>
        <w:rPr>
          <w:rFonts w:ascii="Arial" w:hAnsi="Arial" w:cs="Arial"/>
          <w:b/>
          <w:bCs/>
          <w:sz w:val="20"/>
          <w:szCs w:val="20"/>
        </w:rPr>
        <w:t>Landlord Consent.</w:t>
      </w:r>
      <w:r>
        <w:rPr>
          <w:rFonts w:ascii="Arial" w:hAnsi="Arial" w:cs="Arial"/>
          <w:sz w:val="20"/>
          <w:szCs w:val="20"/>
        </w:rPr>
        <w:t xml:space="preserve"> </w:t>
      </w:r>
    </w:p>
    <w:p w:rsidRPr="003954D1" w:rsidR="00B36EC7" w:rsidP="00B71D5E" w:rsidRDefault="00B36EC7" w14:paraId="14BE892F" w14:textId="0BC4041A">
      <w:pPr>
        <w:pStyle w:val="ListParagraph"/>
        <w:numPr>
          <w:ilvl w:val="0"/>
          <w:numId w:val="18"/>
        </w:numPr>
        <w:overflowPunct w:val="0"/>
        <w:autoSpaceDE w:val="0"/>
        <w:autoSpaceDN w:val="0"/>
        <w:adjustRightInd w:val="0"/>
        <w:spacing w:before="120" w:after="120"/>
        <w:ind w:left="0" w:firstLine="720"/>
        <w:textAlignment w:val="baseline"/>
        <w:rPr>
          <w:rFonts w:ascii="Arial" w:hAnsi="Arial" w:cs="Arial"/>
          <w:sz w:val="20"/>
          <w:szCs w:val="20"/>
        </w:rPr>
      </w:pPr>
      <w:r>
        <w:rPr>
          <w:rFonts w:ascii="Arial" w:hAnsi="Arial" w:cs="Arial"/>
          <w:sz w:val="20"/>
          <w:szCs w:val="20"/>
        </w:rPr>
        <w:t xml:space="preserve"> </w:t>
      </w:r>
      <w:r>
        <w:rPr>
          <w:rFonts w:ascii="Arial" w:hAnsi="Arial" w:cs="Arial"/>
          <w:kern w:val="2"/>
          <w:sz w:val="20"/>
          <w:szCs w:val="20"/>
        </w:rPr>
        <w:t xml:space="preserve">Landlord consents to the assignment by Tenant to GPC of the Lease, together with all of Tenant’s rights under the Lease </w:t>
      </w:r>
      <w:r>
        <w:rPr>
          <w:rFonts w:ascii="Arial" w:hAnsi="Arial" w:cs="Arial"/>
          <w:sz w:val="20"/>
          <w:szCs w:val="20"/>
        </w:rPr>
        <w:t>with respect to the real property described in Exhibit B (“</w:t>
      </w:r>
      <w:r>
        <w:rPr>
          <w:rFonts w:ascii="Arial" w:hAnsi="Arial" w:cs="Arial"/>
          <w:b/>
          <w:bCs/>
          <w:sz w:val="20"/>
          <w:szCs w:val="20"/>
        </w:rPr>
        <w:t>Property</w:t>
      </w:r>
      <w:r>
        <w:rPr>
          <w:rFonts w:ascii="Arial" w:hAnsi="Arial" w:cs="Arial"/>
          <w:sz w:val="20"/>
          <w:szCs w:val="20"/>
        </w:rPr>
        <w:t>”).</w:t>
      </w:r>
    </w:p>
    <w:p w:rsidRPr="00553D68" w:rsidR="00B36EC7" w:rsidP="00A63284" w:rsidRDefault="00B36EC7" w14:paraId="6CA18C8A" w14:textId="77777777">
      <w:pPr>
        <w:pStyle w:val="BodyText"/>
        <w:numPr>
          <w:ilvl w:val="1"/>
          <w:numId w:val="35"/>
        </w:numPr>
        <w:spacing w:before="120" w:line="240" w:lineRule="auto"/>
        <w:jc w:val="both"/>
        <w:rPr>
          <w:rFonts w:ascii="Arial" w:hAnsi="Arial" w:cs="Arial"/>
          <w:vanish/>
          <w:sz w:val="20"/>
          <w:szCs w:val="20"/>
          <w:specVanish/>
        </w:rPr>
      </w:pPr>
      <w:r>
        <w:rPr>
          <w:rFonts w:ascii="Arial" w:hAnsi="Arial" w:cs="Arial"/>
          <w:b/>
          <w:bCs/>
          <w:sz w:val="20"/>
          <w:szCs w:val="20"/>
        </w:rPr>
        <w:t>Landlord Acknowledgment.</w:t>
      </w:r>
      <w:r>
        <w:rPr>
          <w:rFonts w:ascii="Arial" w:hAnsi="Arial" w:cs="Arial"/>
          <w:sz w:val="20"/>
          <w:szCs w:val="20"/>
        </w:rPr>
        <w:t xml:space="preserve"> </w:t>
      </w:r>
    </w:p>
    <w:p w:rsidRPr="00B71D5E" w:rsidR="00B36EC7" w:rsidP="00B71D5E" w:rsidRDefault="00B36EC7" w14:paraId="0C997A61" w14:textId="77777777">
      <w:pPr>
        <w:pStyle w:val="BodyText"/>
        <w:spacing w:before="120" w:line="240" w:lineRule="auto"/>
        <w:rPr>
          <w:rFonts w:ascii="Arial" w:hAnsi="Arial" w:cs="Arial"/>
          <w:sz w:val="20"/>
          <w:szCs w:val="20"/>
        </w:rPr>
      </w:pPr>
      <w:r>
        <w:rPr>
          <w:rFonts w:ascii="Arial" w:hAnsi="Arial" w:cs="Arial"/>
          <w:sz w:val="20"/>
          <w:szCs w:val="20"/>
        </w:rPr>
        <w:t xml:space="preserve"> Landlord acknowledges that: (i) the Lease is, at the date of this Consent, in full force and effect and, to the best knowledge of the Landlord, no default exists on the part of Landlord or Tenant; (ii) Landlord has no claims, offsets, credits, deductions, or other defenses as to the performance of Landlord’s duties under the Lease; and (iii) the Lease constitutes the complete agreement between Landlord and Tenant regarding the Property, and there are no other agreements, provisions, options, or rights existing between Landlord and Tenant with respect to the Property, except as contained in the Lease.</w:t>
      </w:r>
    </w:p>
    <w:p w:rsidRPr="00B71D5E" w:rsidR="00B36EC7" w:rsidP="00A63284" w:rsidRDefault="00B36EC7" w14:paraId="76F8929B" w14:textId="77777777">
      <w:pPr>
        <w:pStyle w:val="BodyText"/>
        <w:numPr>
          <w:ilvl w:val="1"/>
          <w:numId w:val="35"/>
        </w:numPr>
        <w:spacing w:before="120" w:line="240" w:lineRule="auto"/>
        <w:jc w:val="both"/>
        <w:rPr>
          <w:rFonts w:ascii="Arial" w:hAnsi="Arial" w:cs="Arial"/>
          <w:vanish/>
          <w:sz w:val="20"/>
          <w:szCs w:val="20"/>
          <w:specVanish/>
        </w:rPr>
      </w:pPr>
      <w:r>
        <w:rPr>
          <w:rFonts w:ascii="Arial" w:hAnsi="Arial" w:cs="Arial"/>
          <w:b/>
          <w:bCs/>
          <w:sz w:val="20"/>
          <w:szCs w:val="20"/>
        </w:rPr>
        <w:t>Landlord Representations and Warranties.</w:t>
      </w:r>
      <w:r>
        <w:rPr>
          <w:rFonts w:ascii="Arial" w:hAnsi="Arial" w:cs="Arial"/>
          <w:sz w:val="20"/>
          <w:szCs w:val="20"/>
        </w:rPr>
        <w:t xml:space="preserve"> </w:t>
      </w:r>
    </w:p>
    <w:p w:rsidRPr="00B71D5E" w:rsidR="00B36EC7" w:rsidP="00B71D5E" w:rsidRDefault="00B36EC7" w14:paraId="391D4D6E" w14:textId="77777777">
      <w:pPr>
        <w:pStyle w:val="BodyText"/>
        <w:spacing w:before="120" w:line="240" w:lineRule="auto"/>
        <w:rPr>
          <w:rFonts w:ascii="Arial" w:hAnsi="Arial" w:cs="Arial"/>
          <w:sz w:val="20"/>
          <w:szCs w:val="20"/>
        </w:rPr>
      </w:pPr>
      <w:r>
        <w:rPr>
          <w:rFonts w:ascii="Arial" w:hAnsi="Arial" w:cs="Arial"/>
          <w:sz w:val="20"/>
          <w:szCs w:val="20"/>
        </w:rPr>
        <w:t>Landlord represents and warrants that Landlord is the only person or entity having the right to consent to Tenant’s assignment of the Lease and that there are no lienholders, partners, trustees, owners, or other parties or entities whose consent is required for the assignment of the Lease.</w:t>
      </w:r>
    </w:p>
    <w:p w:rsidRPr="00B71D5E" w:rsidR="00B36EC7" w:rsidP="00A63284" w:rsidRDefault="00B36EC7" w14:paraId="34303806" w14:textId="77777777">
      <w:pPr>
        <w:pStyle w:val="BodyText"/>
        <w:numPr>
          <w:ilvl w:val="1"/>
          <w:numId w:val="35"/>
        </w:numPr>
        <w:spacing w:before="120" w:line="240" w:lineRule="auto"/>
        <w:jc w:val="both"/>
        <w:rPr>
          <w:rFonts w:ascii="Arial" w:hAnsi="Arial" w:cs="Arial"/>
          <w:b/>
          <w:bCs/>
          <w:vanish/>
          <w:sz w:val="20"/>
          <w:szCs w:val="20"/>
          <w:specVanish/>
        </w:rPr>
      </w:pPr>
      <w:r>
        <w:rPr>
          <w:rFonts w:ascii="Arial" w:hAnsi="Arial" w:cs="Arial"/>
          <w:b/>
          <w:bCs/>
          <w:sz w:val="20"/>
          <w:szCs w:val="20"/>
        </w:rPr>
        <w:t>Further Assurances.</w:t>
      </w:r>
    </w:p>
    <w:p w:rsidRPr="00B71D5E" w:rsidR="00B36EC7" w:rsidP="00B71D5E" w:rsidRDefault="00B36EC7" w14:paraId="38E20776" w14:textId="387DB4DE">
      <w:pPr>
        <w:pStyle w:val="BodyText"/>
        <w:spacing w:before="120" w:line="240" w:lineRule="auto"/>
        <w:rPr>
          <w:rFonts w:ascii="Arial" w:hAnsi="Arial" w:cs="Arial"/>
          <w:sz w:val="20"/>
          <w:szCs w:val="20"/>
        </w:rPr>
      </w:pPr>
      <w:r>
        <w:rPr>
          <w:rFonts w:ascii="Arial" w:hAnsi="Arial" w:cs="Arial"/>
          <w:sz w:val="20"/>
          <w:szCs w:val="20"/>
        </w:rPr>
        <w:t xml:space="preserve"> Each Party agrees to do and take, or cause to be done or taken, all further acts, assurances, and things, and to execute, acknowledge, and deliver, or cause to be executed, acknowledged, and delivered, all further instruments and other documents, in each case, as may be reasonably requested by any other Party to better consummate and carry out the intent of this Agreement and give effect to this Agreement. Without limiting the generality of the foregoing, each Party agrees, on the request of any other Party, to execute or re-execute</w:t>
      </w:r>
      <w:proofErr w:type="gramStart"/>
      <w:r>
        <w:rPr>
          <w:rFonts w:ascii="Arial" w:hAnsi="Arial" w:cs="Arial"/>
          <w:sz w:val="20"/>
          <w:szCs w:val="20"/>
        </w:rPr>
        <w:t>, as the case may be, new</w:t>
      </w:r>
      <w:proofErr w:type="gramEnd"/>
      <w:r>
        <w:rPr>
          <w:rFonts w:ascii="Arial" w:hAnsi="Arial" w:cs="Arial"/>
          <w:sz w:val="20"/>
          <w:szCs w:val="20"/>
        </w:rPr>
        <w:t xml:space="preserve"> or additional assignments or memorandums of assignment, in recordable form, with respect to the Lease or the Property.</w:t>
      </w:r>
    </w:p>
    <w:p w:rsidRPr="00B71D5E" w:rsidR="00B36EC7" w:rsidP="00A63284" w:rsidRDefault="00B36EC7" w14:paraId="3D06AFF7" w14:textId="77777777">
      <w:pPr>
        <w:pStyle w:val="BodyText"/>
        <w:numPr>
          <w:ilvl w:val="1"/>
          <w:numId w:val="35"/>
        </w:numPr>
        <w:spacing w:before="120" w:line="240" w:lineRule="auto"/>
        <w:jc w:val="both"/>
        <w:rPr>
          <w:rFonts w:ascii="Arial" w:hAnsi="Arial" w:cs="Arial"/>
          <w:b/>
          <w:bCs/>
          <w:vanish/>
          <w:sz w:val="20"/>
          <w:szCs w:val="20"/>
          <w:specVanish/>
        </w:rPr>
      </w:pPr>
      <w:r>
        <w:rPr>
          <w:rFonts w:ascii="Arial" w:hAnsi="Arial" w:cs="Arial"/>
          <w:b/>
          <w:bCs/>
          <w:sz w:val="20"/>
          <w:szCs w:val="20"/>
        </w:rPr>
        <w:t xml:space="preserve">Governing Law. </w:t>
      </w:r>
    </w:p>
    <w:p w:rsidRPr="00B71D5E" w:rsidR="00B36EC7" w:rsidP="00B71D5E" w:rsidRDefault="00B36EC7" w14:paraId="44995EE3" w14:textId="77777777">
      <w:pPr>
        <w:pStyle w:val="BodyText"/>
        <w:spacing w:before="120" w:line="240" w:lineRule="auto"/>
        <w:rPr>
          <w:rFonts w:ascii="Arial" w:hAnsi="Arial" w:cs="Arial"/>
          <w:sz w:val="20"/>
          <w:szCs w:val="20"/>
        </w:rPr>
      </w:pPr>
      <w:r>
        <w:rPr>
          <w:rFonts w:ascii="Arial" w:hAnsi="Arial" w:cs="Arial"/>
          <w:sz w:val="20"/>
          <w:szCs w:val="20"/>
        </w:rPr>
        <w:t xml:space="preserve"> This Consent will be construed and interpreted, and the rights of the Parties determined, in accordance with the </w:t>
      </w:r>
      <w:r>
        <w:rPr>
          <w:rFonts w:ascii="Arial" w:hAnsi="Arial" w:eastAsia="Times New Roman" w:cs="Arial"/>
          <w:sz w:val="20"/>
          <w:szCs w:val="20"/>
        </w:rPr>
        <w:t>law</w:t>
      </w:r>
      <w:r>
        <w:rPr>
          <w:rFonts w:ascii="Arial" w:hAnsi="Arial" w:cs="Arial"/>
          <w:sz w:val="20"/>
          <w:szCs w:val="20"/>
        </w:rPr>
        <w:t xml:space="preserve">s of the state of Georgia, without giving effect to principles of conflicts of </w:t>
      </w:r>
      <w:r>
        <w:rPr>
          <w:rFonts w:ascii="Arial" w:hAnsi="Arial" w:eastAsia="Times New Roman" w:cs="Arial"/>
          <w:sz w:val="20"/>
          <w:szCs w:val="20"/>
        </w:rPr>
        <w:t>law</w:t>
      </w:r>
      <w:r>
        <w:rPr>
          <w:rFonts w:ascii="Arial" w:hAnsi="Arial" w:cs="Arial"/>
          <w:sz w:val="20"/>
          <w:szCs w:val="20"/>
        </w:rPr>
        <w:t xml:space="preserve"> that would require the application of the </w:t>
      </w:r>
      <w:r>
        <w:rPr>
          <w:rFonts w:ascii="Arial" w:hAnsi="Arial" w:eastAsia="Times New Roman" w:cs="Arial"/>
          <w:sz w:val="20"/>
          <w:szCs w:val="20"/>
        </w:rPr>
        <w:t>law</w:t>
      </w:r>
      <w:r>
        <w:rPr>
          <w:rFonts w:ascii="Arial" w:hAnsi="Arial" w:cs="Arial"/>
          <w:sz w:val="20"/>
          <w:szCs w:val="20"/>
        </w:rPr>
        <w:t>s of another jurisdiction.</w:t>
      </w:r>
    </w:p>
    <w:p w:rsidRPr="00B71D5E" w:rsidR="00B36EC7" w:rsidP="00A63284" w:rsidRDefault="00B36EC7" w14:paraId="4ADA013B" w14:textId="77777777">
      <w:pPr>
        <w:pStyle w:val="BodyText"/>
        <w:numPr>
          <w:ilvl w:val="1"/>
          <w:numId w:val="35"/>
        </w:numPr>
        <w:spacing w:before="120" w:line="240" w:lineRule="auto"/>
        <w:jc w:val="both"/>
        <w:rPr>
          <w:rFonts w:ascii="Arial" w:hAnsi="Arial" w:cs="Arial"/>
          <w:b/>
          <w:bCs/>
          <w:vanish/>
          <w:sz w:val="20"/>
          <w:szCs w:val="20"/>
          <w:specVanish/>
        </w:rPr>
      </w:pPr>
      <w:r>
        <w:rPr>
          <w:rFonts w:ascii="Arial" w:hAnsi="Arial" w:cs="Arial"/>
          <w:b/>
          <w:bCs/>
          <w:sz w:val="20"/>
          <w:szCs w:val="20"/>
        </w:rPr>
        <w:t>Successors and Assigns.</w:t>
      </w:r>
    </w:p>
    <w:p w:rsidRPr="00B71D5E" w:rsidR="00B36EC7" w:rsidP="00B71D5E" w:rsidRDefault="00B36EC7" w14:paraId="286E1B50" w14:textId="77777777">
      <w:pPr>
        <w:pStyle w:val="BodyText"/>
        <w:spacing w:before="120" w:line="240" w:lineRule="auto"/>
        <w:rPr>
          <w:rFonts w:ascii="Arial" w:hAnsi="Arial" w:cs="Arial"/>
          <w:sz w:val="20"/>
          <w:szCs w:val="20"/>
        </w:rPr>
      </w:pPr>
      <w:r>
        <w:rPr>
          <w:rFonts w:ascii="Arial" w:hAnsi="Arial" w:cs="Arial"/>
          <w:sz w:val="20"/>
          <w:szCs w:val="20"/>
        </w:rPr>
        <w:t xml:space="preserve"> This Consent will be binding upon, inure to the benefit of, and be enforceable by the Parties and their respective successors and permitted assigns.</w:t>
      </w:r>
    </w:p>
    <w:p w:rsidRPr="00B71D5E" w:rsidR="00B36EC7" w:rsidP="00A63284" w:rsidRDefault="00B36EC7" w14:paraId="231A8E9A" w14:textId="77777777">
      <w:pPr>
        <w:pStyle w:val="BodyText"/>
        <w:numPr>
          <w:ilvl w:val="1"/>
          <w:numId w:val="35"/>
        </w:numPr>
        <w:spacing w:before="120" w:line="240" w:lineRule="auto"/>
        <w:jc w:val="both"/>
        <w:rPr>
          <w:rFonts w:ascii="Arial" w:hAnsi="Arial" w:cs="Arial"/>
          <w:b/>
          <w:bCs/>
          <w:vanish/>
          <w:sz w:val="20"/>
          <w:szCs w:val="20"/>
          <w:specVanish/>
        </w:rPr>
      </w:pPr>
      <w:r>
        <w:rPr>
          <w:rFonts w:ascii="Arial" w:hAnsi="Arial" w:cs="Arial"/>
          <w:b/>
          <w:bCs/>
          <w:sz w:val="20"/>
          <w:szCs w:val="20"/>
        </w:rPr>
        <w:t>Amendment.</w:t>
      </w:r>
    </w:p>
    <w:p w:rsidRPr="00B71D5E" w:rsidR="00B36EC7" w:rsidP="00B71D5E" w:rsidRDefault="00B36EC7" w14:paraId="4CDD68CF" w14:textId="77777777">
      <w:pPr>
        <w:pStyle w:val="BodyText"/>
        <w:spacing w:before="120" w:line="240" w:lineRule="auto"/>
        <w:rPr>
          <w:rFonts w:ascii="Arial" w:hAnsi="Arial" w:cs="Arial"/>
          <w:sz w:val="20"/>
          <w:szCs w:val="20"/>
        </w:rPr>
      </w:pPr>
      <w:r>
        <w:rPr>
          <w:rFonts w:ascii="Arial" w:hAnsi="Arial" w:cs="Arial"/>
          <w:sz w:val="20"/>
          <w:szCs w:val="20"/>
        </w:rPr>
        <w:t xml:space="preserve"> This Consent may not be amended, supplemented, or modified except by an instrument in writing signed on behalf of Landlord and Tenant.</w:t>
      </w:r>
    </w:p>
    <w:p w:rsidRPr="00B71D5E" w:rsidR="00B36EC7" w:rsidP="00A63284" w:rsidRDefault="00B36EC7" w14:paraId="650AB63F" w14:textId="77777777">
      <w:pPr>
        <w:pStyle w:val="BodyText"/>
        <w:numPr>
          <w:ilvl w:val="1"/>
          <w:numId w:val="35"/>
        </w:numPr>
        <w:spacing w:before="120" w:line="240" w:lineRule="auto"/>
        <w:jc w:val="both"/>
        <w:rPr>
          <w:rFonts w:ascii="Arial" w:hAnsi="Arial" w:cs="Arial"/>
          <w:b/>
          <w:bCs/>
          <w:vanish/>
          <w:sz w:val="20"/>
          <w:szCs w:val="20"/>
          <w:specVanish/>
        </w:rPr>
      </w:pPr>
      <w:r>
        <w:rPr>
          <w:rFonts w:ascii="Arial" w:hAnsi="Arial" w:cs="Arial"/>
          <w:b/>
          <w:bCs/>
          <w:sz w:val="20"/>
          <w:szCs w:val="20"/>
        </w:rPr>
        <w:t>Third Party Beneficiaries.</w:t>
      </w:r>
    </w:p>
    <w:p w:rsidRPr="00B71D5E" w:rsidR="00B36EC7" w:rsidP="00B71D5E" w:rsidRDefault="00B36EC7" w14:paraId="66FE820D" w14:textId="77777777">
      <w:pPr>
        <w:pStyle w:val="BodyText"/>
        <w:spacing w:before="120" w:line="240" w:lineRule="auto"/>
        <w:rPr>
          <w:rFonts w:ascii="Arial" w:hAnsi="Arial" w:cs="Arial"/>
          <w:sz w:val="20"/>
          <w:szCs w:val="20"/>
        </w:rPr>
      </w:pPr>
      <w:r>
        <w:rPr>
          <w:rFonts w:ascii="Arial" w:hAnsi="Arial" w:cs="Arial"/>
          <w:sz w:val="20"/>
          <w:szCs w:val="20"/>
        </w:rPr>
        <w:t xml:space="preserve"> Landlord and Tenant </w:t>
      </w:r>
      <w:r>
        <w:rPr>
          <w:rFonts w:ascii="Arial" w:hAnsi="Arial" w:cs="Arial"/>
          <w:color w:val="000000"/>
          <w:sz w:val="20"/>
          <w:szCs w:val="20"/>
          <w:shd w:val="clear" w:color="auto" w:fill="FFFFFF"/>
        </w:rPr>
        <w:t xml:space="preserve">agree and acknowledge that GPC is an intended </w:t>
      </w:r>
      <w:proofErr w:type="gramStart"/>
      <w:r>
        <w:rPr>
          <w:rFonts w:ascii="Arial" w:hAnsi="Arial" w:cs="Arial"/>
          <w:color w:val="000000"/>
          <w:sz w:val="20"/>
          <w:szCs w:val="20"/>
          <w:shd w:val="clear" w:color="auto" w:fill="FFFFFF"/>
        </w:rPr>
        <w:t>third party</w:t>
      </w:r>
      <w:proofErr w:type="gramEnd"/>
      <w:r>
        <w:rPr>
          <w:rFonts w:ascii="Arial" w:hAnsi="Arial" w:cs="Arial"/>
          <w:color w:val="000000"/>
          <w:sz w:val="20"/>
          <w:szCs w:val="20"/>
          <w:shd w:val="clear" w:color="auto" w:fill="FFFFFF"/>
        </w:rPr>
        <w:t xml:space="preserve"> beneficiary and is entitled to rely on the representations, warranties, covenants, and remedies set forth in this Consent as if an original party to this Consent.</w:t>
      </w:r>
    </w:p>
    <w:p w:rsidR="00670EE9" w:rsidRDefault="00670EE9" w14:paraId="4CD00D88" w14:textId="77777777">
      <w:pPr>
        <w:rPr>
          <w:rFonts w:ascii="Arial" w:hAnsi="Arial" w:eastAsia="Batang" w:cs="Arial"/>
          <w:bCs/>
          <w:color w:val="000000" w:themeColor="text1"/>
          <w:w w:val="0"/>
          <w:sz w:val="20"/>
          <w:szCs w:val="20"/>
        </w:rPr>
      </w:pPr>
      <w:r>
        <w:rPr>
          <w:rFonts w:ascii="Arial" w:hAnsi="Arial" w:eastAsia="Batang" w:cs="Arial"/>
          <w:bCs/>
          <w:color w:val="000000" w:themeColor="text1"/>
          <w:w w:val="0"/>
          <w:sz w:val="20"/>
          <w:szCs w:val="20"/>
        </w:rPr>
        <w:br w:type="page"/>
      </w:r>
    </w:p>
    <w:p w:rsidRPr="00B71D5E" w:rsidR="00B36EC7" w:rsidP="00142BE8" w:rsidRDefault="00B36EC7" w14:paraId="64A3E7F5" w14:textId="77777777">
      <w:pPr>
        <w:keepNext/>
        <w:spacing w:before="120" w:after="120" w:line="240" w:lineRule="auto"/>
        <w:jc w:val="both"/>
        <w:rPr>
          <w:rFonts w:ascii="Arial" w:hAnsi="Arial" w:eastAsia="Batang" w:cs="Arial"/>
          <w:color w:val="000000" w:themeColor="text1"/>
          <w:w w:val="0"/>
          <w:sz w:val="20"/>
          <w:szCs w:val="20"/>
        </w:rPr>
      </w:pPr>
      <w:r>
        <w:rPr>
          <w:rFonts w:ascii="Arial" w:hAnsi="Arial" w:eastAsia="Batang" w:cs="Arial"/>
          <w:bCs/>
          <w:color w:val="000000" w:themeColor="text1"/>
          <w:w w:val="0"/>
          <w:sz w:val="20"/>
          <w:szCs w:val="20"/>
        </w:rPr>
        <w:lastRenderedPageBreak/>
        <w:t>Each Party</w:t>
      </w:r>
      <w:r>
        <w:rPr>
          <w:rFonts w:ascii="Arial" w:hAnsi="Arial" w:eastAsia="Batang" w:cs="Arial"/>
          <w:b/>
          <w:color w:val="000000" w:themeColor="text1"/>
          <w:w w:val="0"/>
          <w:sz w:val="20"/>
          <w:szCs w:val="20"/>
        </w:rPr>
        <w:t xml:space="preserve"> </w:t>
      </w:r>
      <w:r>
        <w:rPr>
          <w:rFonts w:ascii="Arial" w:hAnsi="Arial" w:eastAsia="Batang" w:cs="Arial"/>
          <w:color w:val="000000" w:themeColor="text1"/>
          <w:w w:val="0"/>
          <w:sz w:val="20"/>
          <w:szCs w:val="20"/>
        </w:rPr>
        <w:t xml:space="preserve">agrees to all terms and conditions of this Consent. The Parties may exchange counterparts of this Consent as a scanned image (e.g., .pdf or .tiff file extension) as an attachment to email; an electronic or scanned signature is an original signature for all purposes. </w:t>
      </w:r>
    </w:p>
    <w:tbl>
      <w:tblPr>
        <w:tblStyle w:val="TableGrid1"/>
        <w:tblW w:w="0" w:type="auto"/>
        <w:tblLook w:val="04A0" w:firstRow="1" w:lastRow="0" w:firstColumn="1" w:lastColumn="0" w:noHBand="0" w:noVBand="1"/>
      </w:tblPr>
      <w:tblGrid>
        <w:gridCol w:w="9936"/>
      </w:tblGrid>
      <w:tr w:rsidRPr="00B71D5E" w:rsidR="00B36EC7" w14:paraId="5C9EB9BB" w14:textId="77777777">
        <w:tc>
          <w:tcPr>
            <w:tcW w:w="9360" w:type="dxa"/>
          </w:tcPr>
          <w:p w:rsidRPr="00B71D5E" w:rsidR="00B36EC7" w:rsidP="00B71D5E" w:rsidRDefault="00B36EC7" w14:paraId="7F067BC4" w14:textId="77777777">
            <w:pPr>
              <w:spacing w:before="120" w:after="120"/>
              <w:rPr>
                <w:rFonts w:cs="Arial"/>
              </w:rPr>
            </w:pPr>
          </w:p>
          <w:tbl>
            <w:tblPr>
              <w:tblW w:w="9936" w:type="dxa"/>
              <w:tblCellMar>
                <w:left w:w="29" w:type="dxa"/>
                <w:right w:w="29" w:type="dxa"/>
              </w:tblCellMar>
              <w:tblLook w:val="0000" w:firstRow="0" w:lastRow="0" w:firstColumn="0" w:lastColumn="0" w:noHBand="0" w:noVBand="0"/>
            </w:tblPr>
            <w:tblGrid>
              <w:gridCol w:w="647"/>
              <w:gridCol w:w="4020"/>
              <w:gridCol w:w="362"/>
              <w:gridCol w:w="700"/>
              <w:gridCol w:w="4207"/>
            </w:tblGrid>
            <w:tr w:rsidRPr="00B71D5E" w:rsidR="00B36EC7" w14:paraId="7F18E48F" w14:textId="77777777">
              <w:trPr>
                <w:trHeight w:val="432"/>
              </w:trPr>
              <w:tc>
                <w:tcPr>
                  <w:tcW w:w="4667" w:type="dxa"/>
                  <w:gridSpan w:val="2"/>
                  <w:tcBorders>
                    <w:top w:val="nil"/>
                    <w:left w:val="nil"/>
                    <w:bottom w:val="nil"/>
                    <w:right w:val="nil"/>
                  </w:tcBorders>
                  <w:tcMar>
                    <w:top w:w="0" w:type="dxa"/>
                    <w:left w:w="29" w:type="dxa"/>
                    <w:bottom w:w="0" w:type="dxa"/>
                    <w:right w:w="29" w:type="dxa"/>
                  </w:tcMar>
                </w:tcPr>
                <w:p w:rsidRPr="00B71D5E" w:rsidR="00B36EC7" w:rsidP="00B71D5E" w:rsidRDefault="00B36EC7" w14:paraId="36C6FF45" w14:textId="77777777">
                  <w:pPr>
                    <w:keepNext/>
                    <w:spacing w:before="120" w:after="120" w:line="240" w:lineRule="auto"/>
                    <w:rPr>
                      <w:rFonts w:ascii="Arial" w:hAnsi="Arial" w:cs="Arial"/>
                      <w:b/>
                      <w:sz w:val="20"/>
                      <w:szCs w:val="20"/>
                    </w:rPr>
                  </w:pPr>
                  <w:r>
                    <w:rPr>
                      <w:rFonts w:ascii="Arial" w:hAnsi="Arial" w:cs="Arial"/>
                      <w:b/>
                      <w:sz w:val="20"/>
                      <w:szCs w:val="20"/>
                      <w:highlight w:val="yellow"/>
                    </w:rPr>
                    <w:t>#LandlordLegalName#</w:t>
                  </w:r>
                </w:p>
              </w:tc>
              <w:tc>
                <w:tcPr>
                  <w:tcW w:w="362" w:type="dxa"/>
                  <w:tcBorders>
                    <w:top w:val="nil"/>
                    <w:left w:val="nil"/>
                    <w:bottom w:val="nil"/>
                    <w:right w:val="nil"/>
                  </w:tcBorders>
                  <w:tcMar>
                    <w:top w:w="0" w:type="dxa"/>
                    <w:left w:w="29" w:type="dxa"/>
                    <w:bottom w:w="0" w:type="dxa"/>
                    <w:right w:w="29" w:type="dxa"/>
                  </w:tcMar>
                </w:tcPr>
                <w:p w:rsidRPr="00B71D5E" w:rsidR="00B36EC7" w:rsidP="00B71D5E" w:rsidRDefault="00B36EC7" w14:paraId="0B3BD7A8" w14:textId="77777777">
                  <w:pPr>
                    <w:keepNext/>
                    <w:spacing w:before="120" w:after="120" w:line="240" w:lineRule="auto"/>
                    <w:rPr>
                      <w:rFonts w:ascii="Arial" w:hAnsi="Arial" w:cs="Arial"/>
                      <w:b/>
                      <w:sz w:val="20"/>
                      <w:szCs w:val="20"/>
                    </w:rPr>
                  </w:pPr>
                </w:p>
              </w:tc>
              <w:tc>
                <w:tcPr>
                  <w:tcW w:w="4907" w:type="dxa"/>
                  <w:gridSpan w:val="2"/>
                  <w:tcBorders>
                    <w:top w:val="nil"/>
                    <w:left w:val="nil"/>
                    <w:bottom w:val="nil"/>
                    <w:right w:val="nil"/>
                  </w:tcBorders>
                  <w:tcMar>
                    <w:top w:w="0" w:type="dxa"/>
                    <w:left w:w="29" w:type="dxa"/>
                    <w:bottom w:w="0" w:type="dxa"/>
                    <w:right w:w="29" w:type="dxa"/>
                  </w:tcMar>
                </w:tcPr>
                <w:p w:rsidRPr="00B71D5E" w:rsidR="00B36EC7" w:rsidP="00B71D5E" w:rsidRDefault="00B36EC7" w14:paraId="11CCF67D" w14:textId="77777777">
                  <w:pPr>
                    <w:keepNext/>
                    <w:spacing w:before="120" w:after="120" w:line="240" w:lineRule="auto"/>
                    <w:rPr>
                      <w:rFonts w:ascii="Arial" w:hAnsi="Arial" w:cs="Arial"/>
                      <w:b/>
                      <w:sz w:val="20"/>
                      <w:szCs w:val="20"/>
                      <w:highlight w:val="yellow"/>
                    </w:rPr>
                  </w:pPr>
                  <w:r>
                    <w:rPr>
                      <w:rFonts w:ascii="Arial" w:hAnsi="Arial" w:cs="Arial"/>
                      <w:b/>
                      <w:sz w:val="20"/>
                      <w:szCs w:val="20"/>
                      <w:highlight w:val="yellow"/>
                    </w:rPr>
                    <w:t xml:space="preserve"> #TenantLegalName#</w:t>
                  </w:r>
                </w:p>
              </w:tc>
            </w:tr>
            <w:tr w:rsidRPr="00B71D5E" w:rsidR="00B36EC7" w:rsidTr="00A40DC0" w14:paraId="0FD1AA2A"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79054944"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5AD8B7B4" w14:textId="77777777">
                  <w:pPr>
                    <w:spacing w:before="120" w:after="120" w:line="240" w:lineRule="auto"/>
                    <w:jc w:val="right"/>
                    <w:rPr>
                      <w:rFonts w:ascii="Arial" w:hAnsi="Arial" w:cs="Arial"/>
                      <w:sz w:val="20"/>
                      <w:szCs w:val="20"/>
                    </w:rPr>
                  </w:pP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470C53ED" w14:textId="77777777">
                  <w:pPr>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3EFC7547" w14:textId="77777777">
                  <w:pPr>
                    <w:spacing w:before="120" w:after="120" w:line="240" w:lineRule="auto"/>
                    <w:jc w:val="center"/>
                    <w:rPr>
                      <w:rFonts w:ascii="Arial" w:hAnsi="Arial" w:cs="Arial"/>
                      <w:sz w:val="20"/>
                      <w:szCs w:val="20"/>
                    </w:rPr>
                  </w:pPr>
                  <w:r>
                    <w:rPr>
                      <w:rFonts w:ascii="Arial" w:hAnsi="Arial" w:cs="Arial"/>
                      <w:sz w:val="20"/>
                      <w:szCs w:val="20"/>
                    </w:rPr>
                    <w:t>By:</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762BF7E3" w14:textId="77777777">
                  <w:pPr>
                    <w:spacing w:before="120" w:after="120" w:line="240" w:lineRule="auto"/>
                    <w:jc w:val="right"/>
                    <w:rPr>
                      <w:rFonts w:ascii="Arial" w:hAnsi="Arial" w:cs="Arial"/>
                      <w:b/>
                      <w:sz w:val="20"/>
                      <w:szCs w:val="20"/>
                      <w:u w:val="single"/>
                    </w:rPr>
                  </w:pPr>
                </w:p>
              </w:tc>
            </w:tr>
            <w:tr w:rsidRPr="00B71D5E" w:rsidR="00B36EC7" w:rsidTr="00A40DC0" w14:paraId="0535E406" w14:textId="77777777">
              <w:tc>
                <w:tcPr>
                  <w:tcW w:w="647" w:type="dxa"/>
                  <w:tcBorders>
                    <w:left w:val="nil"/>
                    <w:bottom w:val="nil"/>
                    <w:right w:val="nil"/>
                  </w:tcBorders>
                  <w:tcMar>
                    <w:top w:w="0" w:type="dxa"/>
                    <w:left w:w="29" w:type="dxa"/>
                    <w:bottom w:w="0" w:type="dxa"/>
                    <w:right w:w="29" w:type="dxa"/>
                  </w:tcMar>
                  <w:vAlign w:val="bottom"/>
                </w:tcPr>
                <w:p w:rsidRPr="00B71D5E" w:rsidR="00B36EC7" w:rsidP="00B71D5E" w:rsidRDefault="00B36EC7" w14:paraId="7979D9E8" w14:textId="77777777">
                  <w:pPr>
                    <w:spacing w:before="120" w:after="120" w:line="240" w:lineRule="auto"/>
                    <w:jc w:val="right"/>
                    <w:rPr>
                      <w:rFonts w:ascii="Arial" w:hAnsi="Arial" w:cs="Arial"/>
                      <w:sz w:val="20"/>
                      <w:szCs w:val="20"/>
                    </w:rPr>
                  </w:pPr>
                </w:p>
              </w:tc>
              <w:tc>
                <w:tcPr>
                  <w:tcW w:w="4020" w:type="dxa"/>
                  <w:tcBorders>
                    <w:top w:val="single" w:color="auto" w:sz="4" w:space="0"/>
                    <w:left w:val="nil"/>
                    <w:bottom w:val="nil"/>
                    <w:right w:val="nil"/>
                  </w:tcBorders>
                  <w:tcMar>
                    <w:top w:w="0" w:type="dxa"/>
                    <w:left w:w="29" w:type="dxa"/>
                    <w:bottom w:w="0" w:type="dxa"/>
                    <w:right w:w="29" w:type="dxa"/>
                  </w:tcMar>
                  <w:vAlign w:val="bottom"/>
                </w:tcPr>
                <w:p w:rsidRPr="00B71D5E" w:rsidR="00B36EC7" w:rsidP="00B71D5E" w:rsidRDefault="00B36EC7" w14:paraId="52A99284"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#LandlordSignatureName#</w:t>
                  </w:r>
                </w:p>
              </w:tc>
              <w:tc>
                <w:tcPr>
                  <w:tcW w:w="362" w:type="dxa"/>
                  <w:tcBorders>
                    <w:left w:val="nil"/>
                    <w:bottom w:val="nil"/>
                    <w:right w:val="nil"/>
                  </w:tcBorders>
                  <w:tcMar>
                    <w:top w:w="0" w:type="dxa"/>
                    <w:left w:w="29" w:type="dxa"/>
                    <w:bottom w:w="0" w:type="dxa"/>
                    <w:right w:w="29" w:type="dxa"/>
                  </w:tcMar>
                  <w:vAlign w:val="bottom"/>
                </w:tcPr>
                <w:p w:rsidRPr="00B71D5E" w:rsidR="00B36EC7" w:rsidP="00B71D5E" w:rsidRDefault="00B36EC7" w14:paraId="4E66A7E5" w14:textId="77777777">
                  <w:pPr>
                    <w:spacing w:before="120" w:after="120" w:line="240" w:lineRule="auto"/>
                    <w:rPr>
                      <w:rFonts w:ascii="Arial" w:hAnsi="Arial" w:cs="Arial"/>
                      <w:sz w:val="20"/>
                      <w:szCs w:val="20"/>
                      <w:highlight w:val="yellow"/>
                    </w:rPr>
                  </w:pPr>
                </w:p>
              </w:tc>
              <w:tc>
                <w:tcPr>
                  <w:tcW w:w="700" w:type="dxa"/>
                  <w:tcBorders>
                    <w:left w:val="nil"/>
                    <w:bottom w:val="nil"/>
                    <w:right w:val="nil"/>
                  </w:tcBorders>
                  <w:tcMar>
                    <w:top w:w="0" w:type="dxa"/>
                    <w:left w:w="29" w:type="dxa"/>
                    <w:bottom w:w="0" w:type="dxa"/>
                    <w:right w:w="29" w:type="dxa"/>
                  </w:tcMar>
                  <w:vAlign w:val="bottom"/>
                </w:tcPr>
                <w:p w:rsidRPr="00B71D5E" w:rsidR="00B36EC7" w:rsidP="00B71D5E" w:rsidRDefault="00B36EC7" w14:paraId="5343E324" w14:textId="77777777">
                  <w:pPr>
                    <w:spacing w:before="120" w:after="120" w:line="240" w:lineRule="auto"/>
                    <w:rPr>
                      <w:rFonts w:ascii="Arial" w:hAnsi="Arial" w:cs="Arial"/>
                      <w:sz w:val="20"/>
                      <w:szCs w:val="20"/>
                    </w:rPr>
                  </w:pPr>
                </w:p>
              </w:tc>
              <w:tc>
                <w:tcPr>
                  <w:tcW w:w="4207" w:type="dxa"/>
                  <w:tcBorders>
                    <w:top w:val="single" w:color="auto" w:sz="4" w:space="0"/>
                    <w:left w:val="nil"/>
                    <w:bottom w:val="nil"/>
                    <w:right w:val="nil"/>
                  </w:tcBorders>
                  <w:tcMar>
                    <w:top w:w="0" w:type="dxa"/>
                    <w:left w:w="29" w:type="dxa"/>
                    <w:bottom w:w="0" w:type="dxa"/>
                    <w:right w:w="29" w:type="dxa"/>
                  </w:tcMar>
                  <w:vAlign w:val="bottom"/>
                </w:tcPr>
                <w:p w:rsidRPr="00B71D5E" w:rsidR="00B36EC7" w:rsidP="00B71D5E" w:rsidRDefault="00B36EC7" w14:paraId="6E6DCBF2"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#TenantSignatureName#</w:t>
                  </w:r>
                </w:p>
              </w:tc>
            </w:tr>
            <w:tr w:rsidRPr="00B71D5E" w:rsidR="00B36EC7" w:rsidTr="00A40DC0" w14:paraId="05734060" w14:textId="77777777">
              <w:tc>
                <w:tcPr>
                  <w:tcW w:w="647"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7F797D3D" w14:textId="77777777">
                  <w:pPr>
                    <w:spacing w:before="120" w:after="120" w:line="240" w:lineRule="auto"/>
                    <w:jc w:val="right"/>
                    <w:rPr>
                      <w:rFonts w:ascii="Arial" w:hAnsi="Arial" w:cs="Arial"/>
                      <w:sz w:val="20"/>
                      <w:szCs w:val="20"/>
                    </w:rPr>
                  </w:pPr>
                </w:p>
              </w:tc>
              <w:tc>
                <w:tcPr>
                  <w:tcW w:w="4020" w:type="dxa"/>
                  <w:tcBorders>
                    <w:top w:val="nil"/>
                    <w:left w:val="nil"/>
                    <w:right w:val="nil"/>
                  </w:tcBorders>
                  <w:tcMar>
                    <w:top w:w="0" w:type="dxa"/>
                    <w:left w:w="29" w:type="dxa"/>
                    <w:bottom w:w="0" w:type="dxa"/>
                    <w:right w:w="29" w:type="dxa"/>
                  </w:tcMar>
                  <w:vAlign w:val="bottom"/>
                </w:tcPr>
                <w:p w:rsidRPr="00B71D5E" w:rsidR="00B36EC7" w:rsidP="00B71D5E" w:rsidRDefault="00B36EC7" w14:paraId="72C67CCD"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#LandlordSignatureTitle#</w:t>
                  </w: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43AEB730" w14:textId="77777777">
                  <w:pPr>
                    <w:spacing w:before="120" w:after="120" w:line="240" w:lineRule="auto"/>
                    <w:rPr>
                      <w:rFonts w:ascii="Arial" w:hAnsi="Arial" w:cs="Arial"/>
                      <w:sz w:val="20"/>
                      <w:szCs w:val="20"/>
                      <w:highlight w:val="yellow"/>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20B689E0" w14:textId="77777777">
                  <w:pPr>
                    <w:spacing w:before="120" w:after="120" w:line="240" w:lineRule="auto"/>
                    <w:rPr>
                      <w:rFonts w:ascii="Arial" w:hAnsi="Arial" w:cs="Arial"/>
                      <w:sz w:val="20"/>
                      <w:szCs w:val="20"/>
                    </w:rPr>
                  </w:pPr>
                </w:p>
              </w:tc>
              <w:tc>
                <w:tcPr>
                  <w:tcW w:w="4207" w:type="dxa"/>
                  <w:tcBorders>
                    <w:top w:val="nil"/>
                    <w:left w:val="nil"/>
                    <w:right w:val="nil"/>
                  </w:tcBorders>
                  <w:tcMar>
                    <w:top w:w="0" w:type="dxa"/>
                    <w:left w:w="29" w:type="dxa"/>
                    <w:bottom w:w="0" w:type="dxa"/>
                    <w:right w:w="29" w:type="dxa"/>
                  </w:tcMar>
                  <w:vAlign w:val="bottom"/>
                </w:tcPr>
                <w:p w:rsidRPr="00B71D5E" w:rsidR="00B36EC7" w:rsidP="00B71D5E" w:rsidRDefault="00B36EC7" w14:paraId="15D41D43" w14:textId="77777777">
                  <w:pPr>
                    <w:spacing w:before="120" w:after="120" w:line="240" w:lineRule="auto"/>
                    <w:rPr>
                      <w:rFonts w:ascii="Arial" w:hAnsi="Arial" w:cs="Arial"/>
                      <w:sz w:val="20"/>
                      <w:szCs w:val="20"/>
                      <w:highlight w:val="yellow"/>
                    </w:rPr>
                  </w:pPr>
                  <w:r>
                    <w:rPr>
                      <w:rFonts w:ascii="Arial" w:hAnsi="Arial" w:cs="Arial"/>
                      <w:sz w:val="20"/>
                      <w:szCs w:val="20"/>
                      <w:highlight w:val="yellow"/>
                    </w:rPr>
                    <w:t>#TenantSignatureTitle#</w:t>
                  </w:r>
                </w:p>
              </w:tc>
            </w:tr>
            <w:tr w:rsidRPr="00B71D5E" w:rsidR="00B36EC7" w:rsidTr="00A40DC0" w14:paraId="5B3B355F" w14:textId="77777777">
              <w:trPr>
                <w:trHeight w:val="432"/>
              </w:trPr>
              <w:tc>
                <w:tcPr>
                  <w:tcW w:w="647"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31795CB9"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020"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17E6E161" w14:textId="77777777">
                  <w:pPr>
                    <w:spacing w:before="120" w:after="120" w:line="240" w:lineRule="auto"/>
                    <w:jc w:val="right"/>
                    <w:rPr>
                      <w:rFonts w:ascii="Arial" w:hAnsi="Arial" w:cs="Arial"/>
                      <w:b/>
                      <w:sz w:val="20"/>
                      <w:szCs w:val="20"/>
                      <w:u w:val="single"/>
                    </w:rPr>
                  </w:pPr>
                </w:p>
              </w:tc>
              <w:tc>
                <w:tcPr>
                  <w:tcW w:w="362"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0F60F43F" w14:textId="77777777">
                  <w:pPr>
                    <w:spacing w:before="120" w:after="120" w:line="240" w:lineRule="auto"/>
                    <w:jc w:val="right"/>
                    <w:rPr>
                      <w:rFonts w:ascii="Arial" w:hAnsi="Arial" w:cs="Arial"/>
                      <w:sz w:val="20"/>
                      <w:szCs w:val="20"/>
                    </w:rPr>
                  </w:pPr>
                </w:p>
              </w:tc>
              <w:tc>
                <w:tcPr>
                  <w:tcW w:w="700" w:type="dxa"/>
                  <w:tcBorders>
                    <w:top w:val="nil"/>
                    <w:left w:val="nil"/>
                    <w:bottom w:val="nil"/>
                    <w:right w:val="nil"/>
                  </w:tcBorders>
                  <w:tcMar>
                    <w:top w:w="0" w:type="dxa"/>
                    <w:left w:w="29" w:type="dxa"/>
                    <w:bottom w:w="0" w:type="dxa"/>
                    <w:right w:w="29" w:type="dxa"/>
                  </w:tcMar>
                  <w:vAlign w:val="bottom"/>
                </w:tcPr>
                <w:p w:rsidRPr="00B71D5E" w:rsidR="00B36EC7" w:rsidP="00B71D5E" w:rsidRDefault="00B36EC7" w14:paraId="1586DC99" w14:textId="77777777">
                  <w:pPr>
                    <w:spacing w:before="120" w:after="120" w:line="240" w:lineRule="auto"/>
                    <w:jc w:val="right"/>
                    <w:rPr>
                      <w:rFonts w:ascii="Arial" w:hAnsi="Arial" w:cs="Arial"/>
                      <w:sz w:val="20"/>
                      <w:szCs w:val="20"/>
                    </w:rPr>
                  </w:pPr>
                  <w:r>
                    <w:rPr>
                      <w:rFonts w:ascii="Arial" w:hAnsi="Arial" w:cs="Arial"/>
                      <w:sz w:val="20"/>
                      <w:szCs w:val="20"/>
                    </w:rPr>
                    <w:t>Date:</w:t>
                  </w:r>
                </w:p>
              </w:tc>
              <w:tc>
                <w:tcPr>
                  <w:tcW w:w="4207" w:type="dxa"/>
                  <w:tcBorders>
                    <w:top w:val="nil"/>
                    <w:left w:val="nil"/>
                    <w:bottom w:val="single" w:color="auto" w:sz="4" w:space="0"/>
                    <w:right w:val="nil"/>
                  </w:tcBorders>
                  <w:tcMar>
                    <w:top w:w="0" w:type="dxa"/>
                    <w:left w:w="29" w:type="dxa"/>
                    <w:bottom w:w="0" w:type="dxa"/>
                    <w:right w:w="29" w:type="dxa"/>
                  </w:tcMar>
                  <w:vAlign w:val="bottom"/>
                </w:tcPr>
                <w:p w:rsidRPr="00B71D5E" w:rsidR="00B36EC7" w:rsidP="00B71D5E" w:rsidRDefault="00B36EC7" w14:paraId="71C98689" w14:textId="77777777">
                  <w:pPr>
                    <w:spacing w:before="120" w:after="120" w:line="240" w:lineRule="auto"/>
                    <w:jc w:val="right"/>
                    <w:rPr>
                      <w:rFonts w:ascii="Arial" w:hAnsi="Arial" w:cs="Arial"/>
                      <w:b/>
                      <w:sz w:val="20"/>
                      <w:szCs w:val="20"/>
                      <w:u w:val="single"/>
                    </w:rPr>
                  </w:pPr>
                </w:p>
              </w:tc>
            </w:tr>
          </w:tbl>
          <w:p w:rsidRPr="00B71D5E" w:rsidR="00B36EC7" w:rsidP="00B71D5E" w:rsidRDefault="00B36EC7" w14:paraId="097B643E" w14:textId="77777777">
            <w:pPr>
              <w:spacing w:before="120" w:after="120"/>
              <w:rPr>
                <w:rFonts w:cs="Arial"/>
                <w:b/>
                <w:u w:val="single"/>
              </w:rPr>
            </w:pPr>
          </w:p>
          <w:p w:rsidRPr="00B71D5E" w:rsidR="00B36EC7" w:rsidP="00B71D5E" w:rsidRDefault="00B36EC7" w14:paraId="5DC1531F" w14:textId="77777777">
            <w:pPr>
              <w:tabs>
                <w:tab w:val="left" w:pos="3600"/>
                <w:tab w:val="left" w:pos="5040"/>
                <w:tab w:val="left" w:pos="9350"/>
              </w:tabs>
              <w:spacing w:before="120" w:after="120"/>
              <w:rPr>
                <w:rFonts w:eastAsia="Calibri" w:cs="Arial"/>
                <w:b/>
              </w:rPr>
            </w:pPr>
          </w:p>
        </w:tc>
      </w:tr>
    </w:tbl>
    <w:p w:rsidRPr="00B71D5E" w:rsidR="00B36EC7" w:rsidP="00B71D5E" w:rsidRDefault="00B36EC7" w14:paraId="5048233C" w14:textId="77777777">
      <w:pPr>
        <w:spacing w:before="120" w:after="120" w:line="240" w:lineRule="auto"/>
        <w:rPr>
          <w:rFonts w:ascii="Arial" w:hAnsi="Arial" w:cs="Arial"/>
          <w:sz w:val="20"/>
          <w:szCs w:val="20"/>
        </w:rPr>
      </w:pPr>
      <w:r>
        <w:rPr>
          <w:rFonts w:ascii="Arial" w:hAnsi="Arial" w:cs="Arial"/>
          <w:sz w:val="20"/>
          <w:szCs w:val="20"/>
        </w:rPr>
        <w:br w:type="page"/>
      </w:r>
    </w:p>
    <w:p w:rsidRPr="00B71D5E" w:rsidR="00B36EC7" w:rsidP="00B71D5E" w:rsidRDefault="00B36EC7" w14:paraId="7A7C88A3" w14:textId="091A963B">
      <w:pPr>
        <w:pStyle w:val="zGTitleExhibit"/>
        <w:rPr>
          <w:rFonts w:cs="Arial"/>
        </w:rPr>
      </w:pPr>
      <w:bookmarkStart w:name="_Toc181639519" w:id="704"/>
      <w:bookmarkStart w:name="_Toc214644839" w:id="705"/>
      <w:r>
        <w:rPr>
          <w:rFonts w:cs="Arial"/>
        </w:rPr>
        <w:lastRenderedPageBreak/>
        <w:t xml:space="preserve">Exhibit </w:t>
      </w:r>
      <w:r w:rsidR="009B029D">
        <w:rPr>
          <w:rFonts w:cs="Arial"/>
        </w:rPr>
        <w:t>G</w:t>
      </w:r>
      <w:r>
        <w:rPr>
          <w:rFonts w:cs="Arial"/>
        </w:rPr>
        <w:t xml:space="preserve"> – Closing Title Endorsements</w:t>
      </w:r>
      <w:bookmarkEnd w:id="704"/>
      <w:bookmarkEnd w:id="705"/>
      <w:r>
        <w:rPr>
          <w:rFonts w:cs="Arial"/>
        </w:rPr>
        <w:t xml:space="preserve"> </w:t>
      </w:r>
    </w:p>
    <w:p w:rsidRPr="00B71D5E" w:rsidR="00B36EC7" w:rsidP="00B71D5E" w:rsidRDefault="00B36EC7" w14:paraId="1692DF3C" w14:textId="77777777">
      <w:pPr>
        <w:pStyle w:val="zGTitle11"/>
        <w:spacing w:before="120" w:after="120"/>
        <w:rPr>
          <w:rFonts w:cs="Arial"/>
          <w:sz w:val="20"/>
        </w:rPr>
      </w:pPr>
      <w:r>
        <w:rPr>
          <w:rFonts w:cs="Arial"/>
          <w:sz w:val="20"/>
          <w:highlight w:val="yellow"/>
        </w:rPr>
        <w:t>[Subject to revision during APA finalization]</w:t>
      </w:r>
    </w:p>
    <w:p w:rsidRPr="00B71D5E" w:rsidR="00B36EC7" w:rsidP="00B71D5E" w:rsidRDefault="00B36EC7" w14:paraId="1B8ACAC1" w14:textId="77777777">
      <w:pPr>
        <w:spacing w:before="120" w:after="120" w:line="240" w:lineRule="auto"/>
        <w:jc w:val="center"/>
        <w:rPr>
          <w:rFonts w:ascii="Arial" w:hAnsi="Arial" w:cs="Arial"/>
          <w:b/>
          <w:sz w:val="20"/>
          <w:szCs w:val="20"/>
          <w:u w:val="single"/>
        </w:rPr>
      </w:pPr>
    </w:p>
    <w:p w:rsidRPr="00B71D5E" w:rsidR="00B36EC7" w:rsidP="00B71D5E" w:rsidRDefault="00B36EC7" w14:paraId="36910C4E" w14:textId="77777777">
      <w:pPr>
        <w:spacing w:before="120" w:after="120" w:line="240" w:lineRule="auto"/>
        <w:rPr>
          <w:rFonts w:ascii="Arial" w:hAnsi="Arial" w:cs="Arial"/>
          <w:sz w:val="20"/>
          <w:szCs w:val="20"/>
        </w:rPr>
      </w:pPr>
    </w:p>
    <w:p w:rsidRPr="00036C36" w:rsidR="004F3D87" w:rsidP="00EC532C" w:rsidRDefault="004F3D87" w14:paraId="7591DD08" w14:textId="77777777">
      <w:pPr>
        <w:pStyle w:val="zGNormal"/>
        <w:numPr>
          <w:ilvl w:val="0"/>
          <w:numId w:val="21"/>
        </w:numPr>
      </w:pPr>
      <w:r>
        <w:t xml:space="preserve">ALTA 3 (Zoning) as applicable </w:t>
      </w:r>
    </w:p>
    <w:p w:rsidRPr="00036C36" w:rsidR="004F3D87" w:rsidP="00EC532C" w:rsidRDefault="004F3D87" w14:paraId="77D96DCB" w14:textId="77777777">
      <w:pPr>
        <w:pStyle w:val="zGNormal"/>
        <w:numPr>
          <w:ilvl w:val="0"/>
          <w:numId w:val="21"/>
        </w:numPr>
      </w:pPr>
      <w:r>
        <w:t>ALTA 8.2-06 (Environmental Protection Lien)</w:t>
      </w:r>
    </w:p>
    <w:p w:rsidRPr="00036C36" w:rsidR="004F3D87" w:rsidP="00EC532C" w:rsidRDefault="004F3D87" w14:paraId="6B56088B" w14:textId="77777777">
      <w:pPr>
        <w:pStyle w:val="zGNormal"/>
        <w:numPr>
          <w:ilvl w:val="0"/>
          <w:numId w:val="21"/>
        </w:numPr>
      </w:pPr>
      <w:r>
        <w:t xml:space="preserve">ALTA 9 (Comprehensive) as applicable </w:t>
      </w:r>
    </w:p>
    <w:p w:rsidRPr="00036C36" w:rsidR="004F3D87" w:rsidP="00EC532C" w:rsidRDefault="004F3D87" w14:paraId="5E92A9D1" w14:textId="77777777">
      <w:pPr>
        <w:pStyle w:val="zGNormal"/>
        <w:numPr>
          <w:ilvl w:val="0"/>
          <w:numId w:val="21"/>
        </w:numPr>
      </w:pPr>
      <w:r>
        <w:t>ALTA 9.9-06 (Private Rights)</w:t>
      </w:r>
    </w:p>
    <w:p w:rsidRPr="00036C36" w:rsidR="004F3D87" w:rsidP="00EC532C" w:rsidRDefault="004F3D87" w14:paraId="3B89915D" w14:textId="77777777">
      <w:pPr>
        <w:pStyle w:val="zGNormal"/>
        <w:numPr>
          <w:ilvl w:val="0"/>
          <w:numId w:val="21"/>
        </w:numPr>
      </w:pPr>
      <w:r>
        <w:t>ALTA 17 (Access and Entry) as applicable</w:t>
      </w:r>
    </w:p>
    <w:p w:rsidRPr="00036C36" w:rsidR="004F3D87" w:rsidP="00EC532C" w:rsidRDefault="004F3D87" w14:paraId="279A7FD8" w14:textId="77777777">
      <w:pPr>
        <w:pStyle w:val="zGNormal"/>
        <w:numPr>
          <w:ilvl w:val="0"/>
          <w:numId w:val="21"/>
        </w:numPr>
      </w:pPr>
      <w:r>
        <w:t>ALTA 17.2.06 (Utility Access)</w:t>
      </w:r>
    </w:p>
    <w:p w:rsidRPr="00036C36" w:rsidR="004F3D87" w:rsidP="00EC532C" w:rsidRDefault="004F3D87" w14:paraId="6D2739E3" w14:textId="77777777">
      <w:pPr>
        <w:pStyle w:val="zGNormal"/>
        <w:numPr>
          <w:ilvl w:val="0"/>
          <w:numId w:val="21"/>
        </w:numPr>
      </w:pPr>
      <w:r>
        <w:t>ALTA 18-06 (Single Tax Parcel)</w:t>
      </w:r>
    </w:p>
    <w:p w:rsidRPr="00036C36" w:rsidR="004F3D87" w:rsidP="00EC532C" w:rsidRDefault="004F3D87" w14:paraId="14E4B10E" w14:textId="77777777">
      <w:pPr>
        <w:pStyle w:val="zGNormal"/>
        <w:numPr>
          <w:ilvl w:val="0"/>
          <w:numId w:val="21"/>
        </w:numPr>
      </w:pPr>
      <w:r>
        <w:t>ALTA 22-06 (Location)</w:t>
      </w:r>
    </w:p>
    <w:p w:rsidRPr="00036C36" w:rsidR="004F3D87" w:rsidP="00EC532C" w:rsidRDefault="004F3D87" w14:paraId="246915AB" w14:textId="77777777">
      <w:pPr>
        <w:pStyle w:val="zGNormal"/>
        <w:numPr>
          <w:ilvl w:val="0"/>
          <w:numId w:val="21"/>
        </w:numPr>
      </w:pPr>
      <w:r>
        <w:t>ALTA 25-06 (Same as Survey)</w:t>
      </w:r>
    </w:p>
    <w:p w:rsidRPr="00036C36" w:rsidR="004F3D87" w:rsidP="00EC532C" w:rsidRDefault="004F3D87" w14:paraId="6E7101B5" w14:textId="77777777">
      <w:pPr>
        <w:pStyle w:val="zGNormal"/>
        <w:numPr>
          <w:ilvl w:val="0"/>
          <w:numId w:val="21"/>
        </w:numPr>
      </w:pPr>
      <w:r>
        <w:t>ALTA 26 (Subdivision)</w:t>
      </w:r>
    </w:p>
    <w:p w:rsidRPr="00036C36" w:rsidR="004F3D87" w:rsidP="00EC532C" w:rsidRDefault="004F3D87" w14:paraId="005B6CA0" w14:textId="77777777">
      <w:pPr>
        <w:pStyle w:val="zGNormal"/>
        <w:numPr>
          <w:ilvl w:val="0"/>
          <w:numId w:val="21"/>
        </w:numPr>
      </w:pPr>
      <w:r>
        <w:t>ALTA 36 (Energy Project) as applicable</w:t>
      </w:r>
    </w:p>
    <w:p w:rsidRPr="00036C36" w:rsidR="004F3D87" w:rsidP="00EC532C" w:rsidRDefault="004F3D87" w14:paraId="4E62F0F1" w14:textId="77777777">
      <w:pPr>
        <w:pStyle w:val="zGNormal"/>
        <w:numPr>
          <w:ilvl w:val="0"/>
          <w:numId w:val="21"/>
        </w:numPr>
      </w:pPr>
      <w:r>
        <w:t>ALTA 39-06 (Policy Authentication)</w:t>
      </w:r>
    </w:p>
    <w:p w:rsidR="004F3D87" w:rsidP="004F3D87" w:rsidRDefault="004F3D87" w14:paraId="44C23DF2" w14:textId="77777777">
      <w:pPr>
        <w:pStyle w:val="zGNormal6"/>
      </w:pPr>
    </w:p>
    <w:p w:rsidR="00B32761" w:rsidP="004F3D87" w:rsidRDefault="00B32761" w14:paraId="48A9495A" w14:textId="77777777">
      <w:pPr>
        <w:pStyle w:val="zGNormal6"/>
        <w:sectPr w:rsidR="00B32761" w:rsidSect="00C11AB5">
          <w:headerReference w:type="even" r:id="rId47"/>
          <w:headerReference w:type="default" r:id="rId48"/>
          <w:footerReference w:type="even" r:id="rId49"/>
          <w:footerReference w:type="default" r:id="rId50"/>
          <w:headerReference w:type="first" r:id="rId51"/>
          <w:footerReference w:type="first" r:id="rId52"/>
          <w:pgSz w:w="12240" w:h="15840" w:code="1"/>
          <w:pgMar w:top="1080" w:right="1080" w:bottom="936" w:left="1224" w:header="432" w:footer="576" w:gutter="0"/>
          <w:cols w:space="720"/>
          <w:docGrid w:linePitch="360"/>
        </w:sectPr>
      </w:pPr>
    </w:p>
    <w:p w:rsidRPr="00B71D5E" w:rsidR="00B36EC7" w:rsidP="00AD7AF2" w:rsidRDefault="00AD7AF2" w14:paraId="216FD757" w14:textId="582A8123">
      <w:pPr>
        <w:pStyle w:val="zGTitleExhibit"/>
      </w:pPr>
      <w:bookmarkStart w:name="_Toc181639520" w:id="706"/>
      <w:bookmarkStart w:name="_Toc214644840" w:id="707"/>
      <w:r>
        <w:lastRenderedPageBreak/>
        <w:t xml:space="preserve">Exhibit </w:t>
      </w:r>
      <w:r w:rsidR="009B029D">
        <w:t>H</w:t>
      </w:r>
      <w:r>
        <w:t xml:space="preserve"> – Form of Domestic Content Certificate</w:t>
      </w:r>
      <w:bookmarkEnd w:id="706"/>
      <w:bookmarkEnd w:id="707"/>
    </w:p>
    <w:p w:rsidR="0070643D" w:rsidP="00B71D5E" w:rsidRDefault="0070643D" w14:paraId="5AA4EFAF" w14:textId="77777777">
      <w:pPr>
        <w:spacing w:before="120" w:after="120" w:line="240" w:lineRule="auto"/>
        <w:rPr>
          <w:rFonts w:ascii="Arial" w:hAnsi="Arial" w:eastAsia="Calibri" w:cs="Arial"/>
          <w:b/>
          <w:bCs/>
          <w:caps/>
          <w:kern w:val="32"/>
          <w:sz w:val="20"/>
          <w:szCs w:val="20"/>
          <w:u w:val="single"/>
        </w:rPr>
      </w:pPr>
    </w:p>
    <w:tbl>
      <w:tblPr>
        <w:tblStyle w:val="TableGrid1"/>
        <w:tblW w:w="0" w:type="auto"/>
        <w:tblLook w:val="04A0" w:firstRow="1" w:lastRow="0" w:firstColumn="1" w:lastColumn="0" w:noHBand="0" w:noVBand="1"/>
      </w:tblPr>
      <w:tblGrid>
        <w:gridCol w:w="9360"/>
      </w:tblGrid>
      <w:tr w:rsidRPr="00B71D5E" w:rsidR="004D6C4C" w:rsidTr="00CA39E8" w14:paraId="09CBBF26" w14:textId="77777777">
        <w:tc>
          <w:tcPr>
            <w:tcW w:w="9360" w:type="dxa"/>
          </w:tcPr>
          <w:p w:rsidRPr="00B71D5E" w:rsidR="004D6C4C" w:rsidP="00CA39E8" w:rsidRDefault="004D6C4C" w14:paraId="048BE691" w14:textId="77777777">
            <w:pPr>
              <w:pStyle w:val="zGTitle11"/>
              <w:spacing w:before="120" w:after="120"/>
              <w:rPr>
                <w:rFonts w:eastAsia="Calibri" w:cs="Arial"/>
              </w:rPr>
            </w:pPr>
            <w:r>
              <w:rPr>
                <w:rFonts w:eastAsia="Calibri" w:cs="Arial"/>
                <w:highlight w:val="yellow"/>
              </w:rPr>
              <w:t>#Insert date#</w:t>
            </w:r>
          </w:p>
          <w:p w:rsidRPr="00B71D5E" w:rsidR="004D6C4C" w:rsidP="00CA39E8" w:rsidRDefault="004D6C4C" w14:paraId="061901ED" w14:textId="1243E23C">
            <w:pPr>
              <w:pStyle w:val="zGNormal6"/>
              <w:ind w:firstLine="720"/>
              <w:rPr>
                <w:rFonts w:eastAsia="Calibri"/>
              </w:rPr>
            </w:pPr>
            <w:r>
              <w:rPr>
                <w:rFonts w:eastAsia="Calibri"/>
                <w:w w:val="0"/>
              </w:rPr>
              <w:t>This Domestic Content Certificate (this “</w:t>
            </w:r>
            <w:r>
              <w:rPr>
                <w:rFonts w:eastAsia="Calibri"/>
                <w:b/>
                <w:w w:val="0"/>
              </w:rPr>
              <w:t>Certificate</w:t>
            </w:r>
            <w:r>
              <w:rPr>
                <w:rFonts w:eastAsia="Calibri"/>
                <w:w w:val="0"/>
              </w:rPr>
              <w:t xml:space="preserve">”) is furnished in accordance with the </w:t>
            </w:r>
            <w:r>
              <w:rPr>
                <w:rFonts w:eastAsia="Times New Roman"/>
                <w:b/>
                <w:bCs/>
              </w:rPr>
              <w:t xml:space="preserve">Asset Purchase </w:t>
            </w:r>
            <w:r>
              <w:rPr>
                <w:rFonts w:eastAsia="Calibri"/>
                <w:b/>
                <w:bCs/>
              </w:rPr>
              <w:t xml:space="preserve">Agreement for </w:t>
            </w:r>
            <w:r w:rsidR="00CC3CE4">
              <w:rPr>
                <w:rFonts w:eastAsia="Calibri"/>
                <w:b/>
                <w:bCs/>
              </w:rPr>
              <w:t xml:space="preserve">2026 All-Source Capacity Request for Proposals for Need Years </w:t>
            </w:r>
            <w:r>
              <w:rPr>
                <w:rFonts w:eastAsia="Calibri"/>
                <w:b/>
                <w:bCs/>
              </w:rPr>
              <w:t>2032</w:t>
            </w:r>
            <w:r w:rsidR="00CC3CE4">
              <w:rPr>
                <w:sz w:val="16"/>
                <w:szCs w:val="16"/>
              </w:rPr>
              <w:t>–</w:t>
            </w:r>
            <w:r>
              <w:rPr>
                <w:rFonts w:eastAsia="Calibri"/>
                <w:b/>
                <w:bCs/>
              </w:rPr>
              <w:t xml:space="preserve">2033 at </w:t>
            </w:r>
            <w:r>
              <w:rPr>
                <w:rFonts w:eastAsia="Calibri"/>
                <w:b/>
                <w:bCs/>
                <w:highlight w:val="yellow"/>
              </w:rPr>
              <w:t>#FacilityName#</w:t>
            </w:r>
            <w:r>
              <w:rPr>
                <w:rFonts w:eastAsia="Calibri"/>
                <w:b/>
                <w:bCs/>
              </w:rPr>
              <w:t xml:space="preserve"> </w:t>
            </w:r>
            <w:r>
              <w:rPr>
                <w:rFonts w:eastAsia="Calibri"/>
                <w:w w:val="0"/>
              </w:rPr>
              <w:t>by and between Georgia Power Company, a Georgia corporation (“</w:t>
            </w:r>
            <w:r>
              <w:rPr>
                <w:rFonts w:eastAsia="Calibri"/>
                <w:b/>
                <w:bCs/>
                <w:w w:val="0"/>
              </w:rPr>
              <w:t>Company</w:t>
            </w:r>
            <w:r>
              <w:rPr>
                <w:rFonts w:eastAsia="Calibri"/>
                <w:w w:val="0"/>
              </w:rPr>
              <w:t xml:space="preserve">”) and </w:t>
            </w:r>
            <w:r>
              <w:rPr>
                <w:b/>
                <w:highlight w:val="yellow"/>
              </w:rPr>
              <w:t>#SellerLegalName#</w:t>
            </w:r>
            <w:r>
              <w:t>, #</w:t>
            </w:r>
            <w:r>
              <w:rPr>
                <w:color w:val="000000"/>
                <w:highlight w:val="yellow"/>
              </w:rPr>
              <w:t>a</w:t>
            </w:r>
            <w:r>
              <w:rPr>
                <w:color w:val="000000"/>
              </w:rPr>
              <w:t>/</w:t>
            </w:r>
            <w:r>
              <w:rPr>
                <w:color w:val="000000"/>
                <w:highlight w:val="yellow"/>
              </w:rPr>
              <w:t>an#</w:t>
            </w:r>
            <w:r>
              <w:t xml:space="preserve"> </w:t>
            </w:r>
            <w:r>
              <w:rPr>
                <w:highlight w:val="yellow"/>
              </w:rPr>
              <w:t>#OrgState#</w:t>
            </w:r>
            <w:r>
              <w:t xml:space="preserve"> </w:t>
            </w:r>
            <w:r>
              <w:rPr>
                <w:highlight w:val="yellow"/>
              </w:rPr>
              <w:t>#limited liability company#</w:t>
            </w:r>
            <w:r>
              <w:t xml:space="preserve"> </w:t>
            </w:r>
            <w:r>
              <w:rPr>
                <w:b/>
                <w:i/>
                <w:iCs/>
                <w:color w:val="FF0000"/>
                <w:highlight w:val="cyan"/>
                <w:u w:val="single"/>
              </w:rPr>
              <w:t>OR</w:t>
            </w:r>
            <w:r>
              <w:rPr>
                <w:b/>
                <w:i/>
              </w:rPr>
              <w:t xml:space="preserve"> </w:t>
            </w:r>
            <w:r>
              <w:rPr>
                <w:highlight w:val="yellow"/>
              </w:rPr>
              <w:t>#OtherOrgStructure#</w:t>
            </w:r>
            <w:r>
              <w:t xml:space="preserve"> (</w:t>
            </w:r>
            <w:r>
              <w:rPr>
                <w:rFonts w:eastAsia="Calibri"/>
                <w:w w:val="0"/>
              </w:rPr>
              <w:t>“</w:t>
            </w:r>
            <w:r>
              <w:rPr>
                <w:rFonts w:eastAsia="Calibri"/>
                <w:b/>
                <w:w w:val="0"/>
              </w:rPr>
              <w:t>Agreement</w:t>
            </w:r>
            <w:r>
              <w:rPr>
                <w:rFonts w:eastAsia="Calibri"/>
                <w:w w:val="0"/>
              </w:rPr>
              <w:t xml:space="preserve">”). </w:t>
            </w:r>
          </w:p>
          <w:p w:rsidRPr="00B71D5E" w:rsidR="004D6C4C" w:rsidP="00CA39E8" w:rsidRDefault="004D6C4C" w14:paraId="086B8BE3" w14:textId="77777777">
            <w:pPr>
              <w:pStyle w:val="zGNormal6"/>
              <w:ind w:firstLine="720"/>
              <w:rPr>
                <w:rFonts w:eastAsia="Calibri"/>
                <w:w w:val="0"/>
              </w:rPr>
            </w:pPr>
            <w:r>
              <w:rPr>
                <w:rFonts w:eastAsia="Calibri"/>
                <w:w w:val="0"/>
              </w:rPr>
              <w:t xml:space="preserve">Seller hereby acknowledges that the items listed on Exhibit A attached to this Certificate that has been incorporated into </w:t>
            </w:r>
            <w:r>
              <w:rPr>
                <w:rFonts w:eastAsia="Times New Roman"/>
              </w:rPr>
              <w:t xml:space="preserve">the facility located in </w:t>
            </w:r>
            <w:r>
              <w:rPr>
                <w:rFonts w:eastAsia="Times New Roman"/>
                <w:highlight w:val="yellow"/>
              </w:rPr>
              <w:t>#FacilityCity,</w:t>
            </w:r>
            <w:r>
              <w:rPr>
                <w:rFonts w:eastAsia="Times New Roman"/>
              </w:rPr>
              <w:t xml:space="preserve"> Georgia</w:t>
            </w:r>
            <w:r>
              <w:rPr>
                <w:rFonts w:eastAsia="Calibri"/>
                <w:w w:val="0"/>
              </w:rPr>
              <w:t xml:space="preserve"> (“</w:t>
            </w:r>
            <w:r>
              <w:rPr>
                <w:rFonts w:eastAsia="Calibri"/>
                <w:b/>
                <w:bCs/>
                <w:w w:val="0"/>
              </w:rPr>
              <w:t>Facility</w:t>
            </w:r>
            <w:r>
              <w:rPr>
                <w:rFonts w:eastAsia="Calibri"/>
                <w:w w:val="0"/>
              </w:rPr>
              <w:t xml:space="preserve">”). Seller  certifies that: (1) all Manufacturing Processes with respect to any Steel or Iron Items incorporated into the Facility took place in the United States, except metallurgical processes involving refinement of steel additives; and (2) either: (a) all of the Facility Components are United States Manufactured Products; or (b) the sum of the total Direct Cost of the United States Manufactured Products and the United States Components equals or exceeds forty percent (40%) of the total Direct Cost of all Facility Components. </w:t>
            </w:r>
          </w:p>
          <w:p w:rsidRPr="00B71D5E" w:rsidR="004D6C4C" w:rsidP="00CA39E8" w:rsidRDefault="004D6C4C" w14:paraId="20E22C14" w14:textId="77777777">
            <w:pPr>
              <w:pStyle w:val="zGNormal6"/>
              <w:ind w:firstLine="720"/>
              <w:rPr>
                <w:rFonts w:eastAsia="Times New Roman"/>
              </w:rPr>
            </w:pPr>
            <w:r>
              <w:rPr>
                <w:rFonts w:eastAsia="Times New Roman"/>
              </w:rPr>
              <w:t>For the purposes of this Certificate, except as otherwise expressly provided or unless the context otherwise requires, the following terms have the following meanings.</w:t>
            </w:r>
          </w:p>
          <w:p w:rsidRPr="00B71D5E" w:rsidR="004D6C4C" w:rsidP="00CA39E8" w:rsidRDefault="004D6C4C" w14:paraId="1FC1BFFA" w14:textId="77777777">
            <w:pPr>
              <w:pStyle w:val="zGNormal6"/>
              <w:rPr>
                <w:rFonts w:eastAsia="Times New Roman"/>
              </w:rPr>
            </w:pPr>
            <w:r>
              <w:rPr>
                <w:rFonts w:eastAsia="Times New Roman"/>
                <w:b/>
                <w:bCs/>
                <w:u w:val="single"/>
              </w:rPr>
              <w:t>Code</w:t>
            </w:r>
            <w:r>
              <w:rPr>
                <w:rFonts w:eastAsia="Times New Roman"/>
              </w:rPr>
              <w:t xml:space="preserve">: The Internal Revenue Code of 1986, as amended. </w:t>
            </w:r>
          </w:p>
          <w:p w:rsidR="004D6C4C" w:rsidP="00CA39E8" w:rsidRDefault="004D6C4C" w14:paraId="66EEA2F3" w14:textId="77777777">
            <w:pPr>
              <w:pStyle w:val="zGNormal6"/>
              <w:rPr>
                <w:rFonts w:eastAsia="Times New Roman"/>
              </w:rPr>
            </w:pPr>
            <w:r>
              <w:rPr>
                <w:rFonts w:eastAsia="Times New Roman"/>
                <w:b/>
                <w:bCs/>
                <w:u w:val="single"/>
              </w:rPr>
              <w:t>Direct Cost</w:t>
            </w:r>
            <w:r>
              <w:rPr>
                <w:rFonts w:eastAsia="Times New Roman"/>
              </w:rPr>
              <w:t xml:space="preserve">: Direct costs as defined in Treasury Regulations Section 1.263A-1(e)(2)(i) that are paid or incurred (within the meaning of Section 461 of the Code) to produce the Manufactured Product by its manufacturer. </w:t>
            </w:r>
          </w:p>
          <w:p w:rsidRPr="00B71D5E" w:rsidR="004D6C4C" w:rsidP="00CA39E8" w:rsidRDefault="004D6C4C" w14:paraId="6BEE28E7" w14:textId="77777777">
            <w:pPr>
              <w:pStyle w:val="zGNormal6"/>
              <w:rPr>
                <w:rFonts w:eastAsia="Times New Roman"/>
              </w:rPr>
            </w:pPr>
            <w:r>
              <w:rPr>
                <w:rFonts w:eastAsia="Times New Roman"/>
                <w:b/>
                <w:bCs/>
                <w:u w:val="single"/>
              </w:rPr>
              <w:t>Facility Component</w:t>
            </w:r>
            <w:r>
              <w:rPr>
                <w:rFonts w:eastAsia="Times New Roman"/>
              </w:rPr>
              <w:t xml:space="preserve">: Any article, material, or supply, which is directly incorporated into the Facility that is a Manufactured Product. </w:t>
            </w:r>
            <w:r>
              <w:rPr>
                <w:rFonts w:eastAsia="Times New Roman"/>
              </w:rPr>
              <w:tab/>
            </w:r>
          </w:p>
          <w:p w:rsidRPr="00B71D5E" w:rsidR="004D6C4C" w:rsidP="00CA39E8" w:rsidRDefault="004D6C4C" w14:paraId="2AA423F3" w14:textId="77777777">
            <w:pPr>
              <w:pStyle w:val="zGNormal6"/>
              <w:rPr>
                <w:rFonts w:eastAsia="Times New Roman"/>
              </w:rPr>
            </w:pPr>
            <w:r>
              <w:rPr>
                <w:rFonts w:eastAsia="Times New Roman"/>
                <w:b/>
                <w:bCs/>
                <w:u w:val="single"/>
              </w:rPr>
              <w:t>Manufactured</w:t>
            </w:r>
            <w:r>
              <w:rPr>
                <w:rFonts w:eastAsia="Times New Roman"/>
              </w:rPr>
              <w:t xml:space="preserve">: Produced </w:t>
            </w:r>
            <w:proofErr w:type="gramStart"/>
            <w:r>
              <w:rPr>
                <w:rFonts w:eastAsia="Times New Roman"/>
              </w:rPr>
              <w:t>as a result of</w:t>
            </w:r>
            <w:proofErr w:type="gramEnd"/>
            <w:r>
              <w:rPr>
                <w:rFonts w:eastAsia="Times New Roman"/>
              </w:rPr>
              <w:t xml:space="preserve"> the Manufacturing Process. </w:t>
            </w:r>
          </w:p>
          <w:p w:rsidRPr="00B71D5E" w:rsidR="004D6C4C" w:rsidP="00CA39E8" w:rsidRDefault="004D6C4C" w14:paraId="7603E8D5" w14:textId="77777777">
            <w:pPr>
              <w:pStyle w:val="zGNormal6"/>
              <w:rPr>
                <w:rFonts w:eastAsia="Calibri"/>
                <w:w w:val="0"/>
              </w:rPr>
            </w:pPr>
            <w:r>
              <w:rPr>
                <w:rFonts w:eastAsia="Calibri"/>
                <w:b/>
                <w:bCs/>
                <w:w w:val="0"/>
                <w:u w:val="single"/>
              </w:rPr>
              <w:t>Manufacturing Process</w:t>
            </w:r>
            <w:r>
              <w:rPr>
                <w:rFonts w:eastAsia="Calibri"/>
                <w:w w:val="0"/>
              </w:rPr>
              <w:t>: The application of processes to alter the form or function of materials or elements of a product in a manner adding value and transforming those materials and elements so that they represent a new item functionally different from that which would result from mere assembly of the elements or materials.</w:t>
            </w:r>
          </w:p>
          <w:p w:rsidRPr="00B71D5E" w:rsidR="004D6C4C" w:rsidP="00CA39E8" w:rsidRDefault="004D6C4C" w14:paraId="0F081F21" w14:textId="77777777">
            <w:pPr>
              <w:pStyle w:val="zGNormal6"/>
              <w:rPr>
                <w:rFonts w:eastAsia="Calibri"/>
                <w:w w:val="0"/>
              </w:rPr>
            </w:pPr>
            <w:r>
              <w:rPr>
                <w:rFonts w:eastAsia="Calibri"/>
                <w:b/>
                <w:bCs/>
                <w:w w:val="0"/>
                <w:u w:val="single"/>
              </w:rPr>
              <w:t>Manufactured Product</w:t>
            </w:r>
            <w:r>
              <w:rPr>
                <w:rFonts w:eastAsia="Calibri"/>
                <w:w w:val="0"/>
              </w:rPr>
              <w:t xml:space="preserve">: An item produced </w:t>
            </w:r>
            <w:proofErr w:type="gramStart"/>
            <w:r>
              <w:rPr>
                <w:rFonts w:eastAsia="Calibri"/>
                <w:w w:val="0"/>
              </w:rPr>
              <w:t>as a result of</w:t>
            </w:r>
            <w:proofErr w:type="gramEnd"/>
            <w:r>
              <w:rPr>
                <w:rFonts w:eastAsia="Calibri"/>
                <w:w w:val="0"/>
              </w:rPr>
              <w:t xml:space="preserve"> the Manufacturing Process. </w:t>
            </w:r>
          </w:p>
          <w:p w:rsidRPr="00B71D5E" w:rsidR="004D6C4C" w:rsidP="00CA39E8" w:rsidRDefault="004D6C4C" w14:paraId="459EF042" w14:textId="77777777">
            <w:pPr>
              <w:pStyle w:val="zGNormal6"/>
              <w:rPr>
                <w:rFonts w:eastAsia="Times New Roman"/>
              </w:rPr>
            </w:pPr>
            <w:r>
              <w:rPr>
                <w:rFonts w:eastAsia="Calibri"/>
                <w:b/>
                <w:bCs/>
                <w:w w:val="0"/>
                <w:u w:val="single"/>
              </w:rPr>
              <w:t>Manufactured Product Component</w:t>
            </w:r>
            <w:r>
              <w:rPr>
                <w:rFonts w:eastAsia="Calibri"/>
                <w:w w:val="0"/>
              </w:rPr>
              <w:t xml:space="preserve">: Any article, material, or supply, </w:t>
            </w:r>
            <w:proofErr w:type="gramStart"/>
            <w:r>
              <w:rPr>
                <w:rFonts w:eastAsia="Calibri"/>
                <w:w w:val="0"/>
              </w:rPr>
              <w:t>whether or not</w:t>
            </w:r>
            <w:proofErr w:type="gramEnd"/>
            <w:r>
              <w:rPr>
                <w:rFonts w:eastAsia="Calibri"/>
                <w:w w:val="0"/>
              </w:rPr>
              <w:t xml:space="preserve"> Manufactured, that is directly incorporated into a Facility Component. </w:t>
            </w:r>
          </w:p>
          <w:p w:rsidRPr="00B71D5E" w:rsidR="004D6C4C" w:rsidP="00CA39E8" w:rsidRDefault="004D6C4C" w14:paraId="7D73E173" w14:textId="77777777">
            <w:pPr>
              <w:pStyle w:val="zGNormal6"/>
              <w:rPr>
                <w:rFonts w:eastAsia="Times New Roman"/>
              </w:rPr>
            </w:pPr>
            <w:r>
              <w:rPr>
                <w:rFonts w:eastAsia="Times New Roman"/>
                <w:b/>
                <w:bCs/>
                <w:u w:val="single"/>
              </w:rPr>
              <w:t>Mined</w:t>
            </w:r>
            <w:r>
              <w:rPr>
                <w:rFonts w:eastAsia="Times New Roman"/>
              </w:rPr>
              <w:t xml:space="preserve">: Derived from the extraction of </w:t>
            </w:r>
            <w:proofErr w:type="gramStart"/>
            <w:r>
              <w:rPr>
                <w:rFonts w:eastAsia="Times New Roman"/>
              </w:rPr>
              <w:t>ores</w:t>
            </w:r>
            <w:proofErr w:type="gramEnd"/>
            <w:r>
              <w:rPr>
                <w:rFonts w:eastAsia="Times New Roman"/>
              </w:rPr>
              <w:t xml:space="preserve"> or minerals from the ground or from the waste or residue of prior mining. </w:t>
            </w:r>
          </w:p>
          <w:p w:rsidRPr="00B71D5E" w:rsidR="004D6C4C" w:rsidP="00CA39E8" w:rsidRDefault="004D6C4C" w14:paraId="619CF1EF" w14:textId="77777777">
            <w:pPr>
              <w:pStyle w:val="zGNormal6"/>
              <w:rPr>
                <w:rFonts w:eastAsia="Times New Roman"/>
              </w:rPr>
            </w:pPr>
            <w:r>
              <w:rPr>
                <w:rFonts w:eastAsia="Times New Roman"/>
                <w:b/>
                <w:bCs/>
                <w:u w:val="single"/>
              </w:rPr>
              <w:t>Non-United States Manufactured Product</w:t>
            </w:r>
            <w:r>
              <w:rPr>
                <w:rFonts w:eastAsia="Times New Roman"/>
              </w:rPr>
              <w:t xml:space="preserve">: A Manufactured Product all or a portion of the Manufacturing Processes of which occurred outside the United States or all or a portion of the Manufactured Product Components of which are of non-United States origin. </w:t>
            </w:r>
          </w:p>
          <w:p w:rsidRPr="00B71D5E" w:rsidR="004D6C4C" w:rsidP="00CA39E8" w:rsidRDefault="004D6C4C" w14:paraId="5CFA5316" w14:textId="77777777">
            <w:pPr>
              <w:pStyle w:val="zGNormal6"/>
              <w:rPr>
                <w:rFonts w:eastAsia="Times New Roman"/>
              </w:rPr>
            </w:pPr>
            <w:r>
              <w:rPr>
                <w:rFonts w:eastAsia="Times New Roman"/>
                <w:b/>
                <w:bCs/>
                <w:u w:val="single"/>
              </w:rPr>
              <w:t>Steel or Iron Items</w:t>
            </w:r>
            <w:r>
              <w:rPr>
                <w:rFonts w:eastAsia="Times New Roman"/>
              </w:rPr>
              <w:t xml:space="preserve">: Construction materials made primarily of steel or iron that are structural in function. </w:t>
            </w:r>
          </w:p>
          <w:p w:rsidRPr="00B71D5E" w:rsidR="004D6C4C" w:rsidP="00CA39E8" w:rsidRDefault="004D6C4C" w14:paraId="0A52571A" w14:textId="77777777">
            <w:pPr>
              <w:pStyle w:val="zGNormal6"/>
              <w:rPr>
                <w:rFonts w:eastAsia="Times New Roman"/>
              </w:rPr>
            </w:pPr>
            <w:r>
              <w:rPr>
                <w:rFonts w:eastAsia="Times New Roman"/>
                <w:b/>
                <w:bCs/>
                <w:u w:val="single"/>
              </w:rPr>
              <w:t>United States</w:t>
            </w:r>
            <w:r>
              <w:rPr>
                <w:rFonts w:eastAsia="Times New Roman"/>
              </w:rPr>
              <w:t xml:space="preserve">: The several states, the District of Columbia, the Commonwealth of Puerto Rico, Guam, American Samoa, the U.S. Virgin Islands, and the Commonwealth of the Northern Mariana Islands. </w:t>
            </w:r>
          </w:p>
          <w:p w:rsidRPr="00B71D5E" w:rsidR="004D6C4C" w:rsidP="00CA39E8" w:rsidRDefault="004D6C4C" w14:paraId="13E42756" w14:textId="77777777">
            <w:pPr>
              <w:pStyle w:val="zGNormal6"/>
              <w:rPr>
                <w:rFonts w:eastAsia="Times New Roman"/>
              </w:rPr>
            </w:pPr>
            <w:r>
              <w:rPr>
                <w:rFonts w:eastAsia="Times New Roman"/>
                <w:b/>
                <w:bCs/>
                <w:u w:val="single"/>
              </w:rPr>
              <w:t>United States Component</w:t>
            </w:r>
            <w:r>
              <w:rPr>
                <w:rFonts w:eastAsia="Times New Roman"/>
              </w:rPr>
              <w:t xml:space="preserve">: Any Manufactured Product Component of a Non-United States Manufactured Product if the Manufactured Product Component is Mined or Manufactured in the United States. </w:t>
            </w:r>
          </w:p>
          <w:p w:rsidRPr="00B71D5E" w:rsidR="004D6C4C" w:rsidP="00CA39E8" w:rsidRDefault="004D6C4C" w14:paraId="32C5CC22" w14:textId="77777777">
            <w:pPr>
              <w:pStyle w:val="zGNormal6"/>
              <w:rPr>
                <w:rFonts w:eastAsia="Times New Roman"/>
              </w:rPr>
            </w:pPr>
            <w:r>
              <w:rPr>
                <w:rFonts w:eastAsia="Times New Roman"/>
                <w:b/>
                <w:bCs/>
                <w:u w:val="single"/>
              </w:rPr>
              <w:t>United States Manufactured Product</w:t>
            </w:r>
            <w:r>
              <w:rPr>
                <w:rFonts w:eastAsia="Times New Roman"/>
              </w:rPr>
              <w:t xml:space="preserve">: A Manufactured Product </w:t>
            </w:r>
            <w:proofErr w:type="gramStart"/>
            <w:r>
              <w:rPr>
                <w:rFonts w:eastAsia="Times New Roman"/>
              </w:rPr>
              <w:t>all of</w:t>
            </w:r>
            <w:proofErr w:type="gramEnd"/>
            <w:r>
              <w:rPr>
                <w:rFonts w:eastAsia="Times New Roman"/>
              </w:rPr>
              <w:t xml:space="preserve"> the Manufacturing Processes for which occurred in the United States and </w:t>
            </w:r>
            <w:proofErr w:type="gramStart"/>
            <w:r>
              <w:rPr>
                <w:rFonts w:eastAsia="Times New Roman"/>
              </w:rPr>
              <w:t>all of</w:t>
            </w:r>
            <w:proofErr w:type="gramEnd"/>
            <w:r>
              <w:rPr>
                <w:rFonts w:eastAsia="Times New Roman"/>
              </w:rPr>
              <w:t xml:space="preserve"> the Manufactured Facility Components of which have been Manufactured in the United States.</w:t>
            </w:r>
          </w:p>
          <w:p w:rsidRPr="00B71D5E" w:rsidR="004D6C4C" w:rsidP="00CA39E8" w:rsidRDefault="004D6C4C" w14:paraId="69350F89" w14:textId="77777777">
            <w:pPr>
              <w:pStyle w:val="zGNormal6"/>
              <w:keepNext/>
              <w:keepLines/>
              <w:ind w:firstLine="720"/>
              <w:rPr>
                <w:rFonts w:eastAsia="Times New Roman"/>
              </w:rPr>
            </w:pPr>
            <w:r>
              <w:rPr>
                <w:rFonts w:eastAsia="Times New Roman"/>
              </w:rPr>
              <w:lastRenderedPageBreak/>
              <w:t>Seller acknowledges that this Certificate may be relied on by the Company and the Internal Revenue Service to determine whether the Facility qualifies for an increase in the energy credit under Section 48 of the Internal Revenue Code of 1986, as amended, (“</w:t>
            </w:r>
            <w:r>
              <w:rPr>
                <w:rFonts w:eastAsia="Times New Roman"/>
                <w:b/>
                <w:bCs/>
              </w:rPr>
              <w:t>Code</w:t>
            </w:r>
            <w:r>
              <w:rPr>
                <w:rFonts w:eastAsia="Times New Roman"/>
              </w:rPr>
              <w:t>”) or the clean electricity investment credit under Section 48E of the Code, with respect to facilities that satisfy the “domestic content” provisions of Sections 48(a)(12) or 48E(a)(3)(B) of the Code, and certifies that the information is this Certificate is true, correct, and complete to the best of Seller’s knowledge and belief.</w:t>
            </w:r>
          </w:p>
          <w:p w:rsidRPr="00B71D5E" w:rsidR="004D6C4C" w:rsidP="00CA39E8" w:rsidRDefault="004D6C4C" w14:paraId="33A1FD25" w14:textId="77777777">
            <w:pPr>
              <w:keepNext/>
              <w:keepLines/>
              <w:autoSpaceDE w:val="0"/>
              <w:autoSpaceDN w:val="0"/>
              <w:adjustRightInd w:val="0"/>
              <w:spacing w:before="120" w:after="120"/>
              <w:ind w:left="5760"/>
              <w:rPr>
                <w:rFonts w:eastAsia="Times New Roman" w:cs="Arial"/>
              </w:rPr>
            </w:pPr>
          </w:p>
          <w:tbl>
            <w:tblPr>
              <w:tblW w:w="5130" w:type="dxa"/>
              <w:tblCellMar>
                <w:left w:w="29" w:type="dxa"/>
                <w:right w:w="29" w:type="dxa"/>
              </w:tblCellMar>
              <w:tblLook w:val="01E0" w:firstRow="1" w:lastRow="1" w:firstColumn="1" w:lastColumn="1" w:noHBand="0" w:noVBand="0"/>
            </w:tblPr>
            <w:tblGrid>
              <w:gridCol w:w="1008"/>
              <w:gridCol w:w="4093"/>
              <w:gridCol w:w="29"/>
            </w:tblGrid>
            <w:tr w:rsidRPr="00B71D5E" w:rsidR="004D6C4C" w:rsidTr="00CA39E8" w14:paraId="110D6E36" w14:textId="77777777">
              <w:trPr>
                <w:cantSplit/>
                <w:trHeight w:val="432"/>
              </w:trPr>
              <w:tc>
                <w:tcPr>
                  <w:tcW w:w="5130" w:type="dxa"/>
                  <w:gridSpan w:val="3"/>
                </w:tcPr>
                <w:p w:rsidRPr="00B71D5E" w:rsidR="004D6C4C" w:rsidP="00CA39E8" w:rsidRDefault="004D6C4C" w14:paraId="68795060" w14:textId="77777777">
                  <w:pPr>
                    <w:keepNext/>
                    <w:keepLines/>
                    <w:widowControl w:val="0"/>
                    <w:autoSpaceDE w:val="0"/>
                    <w:autoSpaceDN w:val="0"/>
                    <w:adjustRightInd w:val="0"/>
                    <w:spacing w:before="120" w:after="120" w:line="240" w:lineRule="auto"/>
                    <w:jc w:val="both"/>
                    <w:rPr>
                      <w:rFonts w:ascii="Arial" w:hAnsi="Arial" w:eastAsia="Yu Mincho" w:cs="Arial"/>
                      <w:b/>
                      <w:spacing w:val="-6"/>
                      <w:kern w:val="14"/>
                      <w:sz w:val="20"/>
                      <w:szCs w:val="20"/>
                    </w:rPr>
                  </w:pPr>
                  <w:r>
                    <w:rPr>
                      <w:rFonts w:ascii="Arial" w:hAnsi="Arial" w:eastAsia="Yu Mincho" w:cs="Arial"/>
                      <w:b/>
                      <w:spacing w:val="-6"/>
                      <w:kern w:val="14"/>
                      <w:sz w:val="20"/>
                      <w:szCs w:val="20"/>
                      <w:highlight w:val="yellow"/>
                    </w:rPr>
                    <w:t>#SellerLegalName#</w:t>
                  </w:r>
                </w:p>
              </w:tc>
            </w:tr>
            <w:tr w:rsidRPr="00B71D5E" w:rsidR="004D6C4C" w:rsidTr="00CA39E8" w14:paraId="2073BDD0" w14:textId="77777777">
              <w:trPr>
                <w:gridAfter w:val="1"/>
                <w:wAfter w:w="29" w:type="dxa"/>
                <w:cantSplit/>
                <w:trHeight w:val="504"/>
              </w:trPr>
              <w:tc>
                <w:tcPr>
                  <w:tcW w:w="1008" w:type="dxa"/>
                  <w:vAlign w:val="bottom"/>
                </w:tcPr>
                <w:p w:rsidRPr="00B71D5E" w:rsidR="004D6C4C" w:rsidP="00CA39E8" w:rsidRDefault="004D6C4C" w14:paraId="4B49C058"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By:</w:t>
                  </w:r>
                </w:p>
              </w:tc>
              <w:tc>
                <w:tcPr>
                  <w:tcW w:w="4093" w:type="dxa"/>
                  <w:tcBorders>
                    <w:bottom w:val="single" w:color="auto" w:sz="4" w:space="0"/>
                  </w:tcBorders>
                  <w:vAlign w:val="bottom"/>
                </w:tcPr>
                <w:p w:rsidRPr="00B71D5E" w:rsidR="004D6C4C" w:rsidP="00CA39E8" w:rsidRDefault="004D6C4C" w14:paraId="6764C8AF" w14:textId="77777777">
                  <w:pPr>
                    <w:keepLines/>
                    <w:spacing w:before="120" w:after="120" w:line="240" w:lineRule="auto"/>
                    <w:rPr>
                      <w:rFonts w:ascii="Arial" w:hAnsi="Arial" w:eastAsia="Calibri" w:cs="Arial"/>
                      <w:sz w:val="20"/>
                      <w:szCs w:val="20"/>
                    </w:rPr>
                  </w:pPr>
                </w:p>
              </w:tc>
            </w:tr>
            <w:tr w:rsidRPr="00B71D5E" w:rsidR="004D6C4C" w:rsidTr="00CA39E8" w14:paraId="1592E20C" w14:textId="77777777">
              <w:trPr>
                <w:gridAfter w:val="1"/>
                <w:wAfter w:w="29" w:type="dxa"/>
                <w:cantSplit/>
                <w:trHeight w:val="504"/>
              </w:trPr>
              <w:tc>
                <w:tcPr>
                  <w:tcW w:w="1008" w:type="dxa"/>
                  <w:vAlign w:val="bottom"/>
                </w:tcPr>
                <w:p w:rsidRPr="00B71D5E" w:rsidR="004D6C4C" w:rsidP="00CA39E8" w:rsidRDefault="004D6C4C" w14:paraId="13459F0B"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Name</w:t>
                  </w:r>
                </w:p>
                <w:p w:rsidRPr="00B71D5E" w:rsidR="004D6C4C" w:rsidP="00CA39E8" w:rsidRDefault="004D6C4C" w14:paraId="70F33199"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Printed:</w:t>
                  </w:r>
                </w:p>
              </w:tc>
              <w:tc>
                <w:tcPr>
                  <w:tcW w:w="4093" w:type="dxa"/>
                  <w:tcBorders>
                    <w:top w:val="single" w:color="auto" w:sz="4" w:space="0"/>
                    <w:bottom w:val="single" w:color="auto" w:sz="4" w:space="0"/>
                  </w:tcBorders>
                  <w:vAlign w:val="bottom"/>
                </w:tcPr>
                <w:p w:rsidRPr="00B71D5E" w:rsidR="004D6C4C" w:rsidP="00CA39E8" w:rsidRDefault="004D6C4C" w14:paraId="3CC2BB29" w14:textId="77777777">
                  <w:pPr>
                    <w:keepLines/>
                    <w:spacing w:before="120" w:after="120" w:line="240" w:lineRule="auto"/>
                    <w:rPr>
                      <w:rFonts w:ascii="Arial" w:hAnsi="Arial" w:eastAsia="Calibri" w:cs="Arial"/>
                      <w:sz w:val="20"/>
                      <w:szCs w:val="20"/>
                    </w:rPr>
                  </w:pPr>
                </w:p>
              </w:tc>
            </w:tr>
            <w:tr w:rsidRPr="00B71D5E" w:rsidR="004D6C4C" w:rsidTr="00CA39E8" w14:paraId="4B39E0A4" w14:textId="77777777">
              <w:trPr>
                <w:gridAfter w:val="1"/>
                <w:wAfter w:w="29" w:type="dxa"/>
                <w:cantSplit/>
                <w:trHeight w:val="504"/>
              </w:trPr>
              <w:tc>
                <w:tcPr>
                  <w:tcW w:w="1008" w:type="dxa"/>
                  <w:vAlign w:val="bottom"/>
                </w:tcPr>
                <w:p w:rsidRPr="00B71D5E" w:rsidR="004D6C4C" w:rsidP="00CA39E8" w:rsidRDefault="004D6C4C" w14:paraId="3EF6AB25"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Title:</w:t>
                  </w:r>
                </w:p>
              </w:tc>
              <w:tc>
                <w:tcPr>
                  <w:tcW w:w="4093" w:type="dxa"/>
                  <w:tcBorders>
                    <w:top w:val="single" w:color="auto" w:sz="4" w:space="0"/>
                    <w:bottom w:val="single" w:color="auto" w:sz="4" w:space="0"/>
                  </w:tcBorders>
                  <w:vAlign w:val="bottom"/>
                </w:tcPr>
                <w:p w:rsidRPr="00B71D5E" w:rsidR="004D6C4C" w:rsidP="00CA39E8" w:rsidRDefault="004D6C4C" w14:paraId="18107A8B" w14:textId="77777777">
                  <w:pPr>
                    <w:keepLines/>
                    <w:spacing w:before="120" w:after="120" w:line="240" w:lineRule="auto"/>
                    <w:rPr>
                      <w:rFonts w:ascii="Arial" w:hAnsi="Arial" w:eastAsia="Calibri" w:cs="Arial"/>
                      <w:sz w:val="20"/>
                      <w:szCs w:val="20"/>
                    </w:rPr>
                  </w:pPr>
                </w:p>
              </w:tc>
            </w:tr>
            <w:tr w:rsidRPr="00B71D5E" w:rsidR="004D6C4C" w:rsidTr="00CA39E8" w14:paraId="7A5BE782" w14:textId="77777777">
              <w:trPr>
                <w:gridAfter w:val="1"/>
                <w:wAfter w:w="29" w:type="dxa"/>
                <w:cantSplit/>
                <w:trHeight w:val="504"/>
              </w:trPr>
              <w:tc>
                <w:tcPr>
                  <w:tcW w:w="1008" w:type="dxa"/>
                  <w:vAlign w:val="bottom"/>
                </w:tcPr>
                <w:p w:rsidRPr="00B71D5E" w:rsidR="004D6C4C" w:rsidP="00CA39E8" w:rsidRDefault="004D6C4C" w14:paraId="066BCB9F" w14:textId="77777777">
                  <w:pPr>
                    <w:autoSpaceDE w:val="0"/>
                    <w:autoSpaceDN w:val="0"/>
                    <w:adjustRightInd w:val="0"/>
                    <w:spacing w:before="120" w:after="120" w:line="240" w:lineRule="auto"/>
                    <w:jc w:val="both"/>
                    <w:rPr>
                      <w:rFonts w:ascii="Arial" w:hAnsi="Arial" w:eastAsia="Yu Mincho" w:cs="Arial"/>
                      <w:kern w:val="14"/>
                      <w:sz w:val="18"/>
                      <w:szCs w:val="18"/>
                    </w:rPr>
                  </w:pPr>
                  <w:r>
                    <w:rPr>
                      <w:rFonts w:ascii="Arial" w:hAnsi="Arial" w:eastAsia="Yu Mincho" w:cs="Arial"/>
                      <w:kern w:val="14"/>
                      <w:sz w:val="18"/>
                      <w:szCs w:val="18"/>
                    </w:rPr>
                    <w:t>Date:</w:t>
                  </w:r>
                </w:p>
              </w:tc>
              <w:tc>
                <w:tcPr>
                  <w:tcW w:w="4093" w:type="dxa"/>
                  <w:tcBorders>
                    <w:top w:val="single" w:color="auto" w:sz="4" w:space="0"/>
                    <w:bottom w:val="single" w:color="auto" w:sz="4" w:space="0"/>
                  </w:tcBorders>
                  <w:vAlign w:val="bottom"/>
                </w:tcPr>
                <w:p w:rsidRPr="00B71D5E" w:rsidR="004D6C4C" w:rsidP="00CA39E8" w:rsidRDefault="004D6C4C" w14:paraId="706F56A5" w14:textId="77777777">
                  <w:pPr>
                    <w:keepLines/>
                    <w:spacing w:before="120" w:after="120" w:line="240" w:lineRule="auto"/>
                    <w:rPr>
                      <w:rFonts w:ascii="Arial" w:hAnsi="Arial" w:eastAsia="Calibri" w:cs="Arial"/>
                      <w:sz w:val="20"/>
                      <w:szCs w:val="20"/>
                    </w:rPr>
                  </w:pPr>
                </w:p>
              </w:tc>
            </w:tr>
          </w:tbl>
          <w:p w:rsidRPr="00B71D5E" w:rsidR="004D6C4C" w:rsidP="00CA39E8" w:rsidRDefault="004D6C4C" w14:paraId="32CD51E6" w14:textId="77777777">
            <w:pPr>
              <w:spacing w:before="120" w:after="120"/>
              <w:rPr>
                <w:rFonts w:cs="Arial"/>
              </w:rPr>
            </w:pPr>
          </w:p>
        </w:tc>
      </w:tr>
    </w:tbl>
    <w:p w:rsidR="004D6C4C" w:rsidP="00B71D5E" w:rsidRDefault="004D6C4C" w14:paraId="3A984074" w14:textId="77777777">
      <w:pPr>
        <w:spacing w:before="120" w:after="120" w:line="240" w:lineRule="auto"/>
        <w:rPr>
          <w:rFonts w:ascii="Arial" w:hAnsi="Arial" w:eastAsia="Calibri" w:cs="Arial"/>
          <w:b/>
          <w:bCs/>
          <w:caps/>
          <w:kern w:val="32"/>
          <w:sz w:val="20"/>
          <w:szCs w:val="20"/>
          <w:u w:val="single"/>
        </w:rPr>
        <w:sectPr w:rsidR="004D6C4C" w:rsidSect="00C11AB5">
          <w:headerReference w:type="even" r:id="rId53"/>
          <w:headerReference w:type="default" r:id="rId54"/>
          <w:footerReference w:type="even" r:id="rId55"/>
          <w:footerReference w:type="default" r:id="rId56"/>
          <w:headerReference w:type="first" r:id="rId57"/>
          <w:footerReference w:type="first" r:id="rId58"/>
          <w:pgSz w:w="12240" w:h="15840" w:code="1"/>
          <w:pgMar w:top="1080" w:right="1080" w:bottom="936" w:left="1224" w:header="432" w:footer="576" w:gutter="0"/>
          <w:cols w:space="720"/>
          <w:docGrid w:linePitch="360"/>
        </w:sectPr>
      </w:pPr>
    </w:p>
    <w:p w:rsidR="005E5E60" w:rsidP="00136360" w:rsidRDefault="005E5E60" w14:paraId="7DED6D84" w14:textId="7E4DA74D">
      <w:pPr>
        <w:pStyle w:val="zGTitleExhibit"/>
      </w:pPr>
      <w:bookmarkStart w:name="_Toc181639521" w:id="708"/>
      <w:bookmarkStart w:name="_Toc214644841" w:id="709"/>
      <w:r>
        <w:lastRenderedPageBreak/>
        <w:t xml:space="preserve">Exhibit </w:t>
      </w:r>
      <w:r w:rsidR="009B029D">
        <w:t>I</w:t>
      </w:r>
      <w:r>
        <w:t xml:space="preserve"> – Closing Date Working Capital Methodology</w:t>
      </w:r>
      <w:bookmarkEnd w:id="708"/>
      <w:bookmarkEnd w:id="709"/>
    </w:p>
    <w:p w:rsidR="008741A0" w:rsidRDefault="008741A0" w14:paraId="188F56D1" w14:textId="77777777">
      <w:pPr>
        <w:pStyle w:val="zGTitleExhibit"/>
      </w:pPr>
    </w:p>
    <w:p w:rsidRPr="00266096" w:rsidR="003A6633" w:rsidP="003A6633" w:rsidRDefault="003A6633" w14:paraId="4E025F20" w14:textId="77777777">
      <w:pPr>
        <w:spacing w:after="240"/>
        <w:jc w:val="center"/>
        <w:rPr>
          <w:rFonts w:ascii="Arial" w:hAnsi="Arial" w:cs="Arial"/>
          <w:sz w:val="20"/>
          <w:szCs w:val="20"/>
        </w:rPr>
      </w:pPr>
      <w:r>
        <w:rPr>
          <w:rFonts w:ascii="Arial" w:hAnsi="Arial" w:cs="Arial"/>
          <w:b/>
          <w:sz w:val="20"/>
          <w:szCs w:val="20"/>
        </w:rPr>
        <w:t>Working Capital Methodology</w:t>
      </w:r>
    </w:p>
    <w:p w:rsidRPr="00AA1EF4" w:rsidR="003A6633" w:rsidP="003A6633" w:rsidRDefault="003A6633" w14:paraId="4C08283D" w14:textId="2DCE6757">
      <w:pPr>
        <w:spacing w:after="240"/>
        <w:jc w:val="both"/>
        <w:rPr>
          <w:rFonts w:ascii="Arial" w:hAnsi="Arial" w:cs="Arial"/>
          <w:sz w:val="20"/>
          <w:szCs w:val="20"/>
        </w:rPr>
      </w:pPr>
      <w:r>
        <w:rPr>
          <w:rFonts w:ascii="Arial" w:hAnsi="Arial" w:cs="Arial"/>
          <w:sz w:val="20"/>
          <w:szCs w:val="20"/>
        </w:rPr>
        <w:t xml:space="preserve">This Exhibit </w:t>
      </w:r>
      <w:r w:rsidR="009B029D">
        <w:rPr>
          <w:rFonts w:ascii="Arial" w:hAnsi="Arial" w:cs="Arial"/>
          <w:sz w:val="20"/>
          <w:szCs w:val="20"/>
        </w:rPr>
        <w:t>I</w:t>
      </w:r>
      <w:r>
        <w:rPr>
          <w:rFonts w:ascii="Arial" w:hAnsi="Arial" w:cs="Arial"/>
          <w:sz w:val="20"/>
          <w:szCs w:val="20"/>
        </w:rPr>
        <w:t xml:space="preserve"> (</w:t>
      </w:r>
      <w:r>
        <w:rPr>
          <w:rFonts w:ascii="Arial" w:hAnsi="Arial" w:cs="Arial"/>
          <w:i/>
          <w:iCs/>
          <w:sz w:val="20"/>
          <w:szCs w:val="20"/>
        </w:rPr>
        <w:t>Working Capital Methodology</w:t>
      </w:r>
      <w:r>
        <w:rPr>
          <w:rFonts w:ascii="Arial" w:hAnsi="Arial" w:cs="Arial"/>
          <w:sz w:val="20"/>
          <w:szCs w:val="20"/>
        </w:rPr>
        <w:t xml:space="preserve">) sets forth the line items and methodology used to determine Closing Date Working Capital.  </w:t>
      </w:r>
    </w:p>
    <w:p w:rsidRPr="00266096" w:rsidR="003A6633" w:rsidP="003A6633" w:rsidRDefault="003A6633" w14:paraId="6FFC8F4A" w14:textId="7B48F47E">
      <w:pPr>
        <w:spacing w:after="240"/>
        <w:jc w:val="both"/>
        <w:rPr>
          <w:rFonts w:ascii="Arial" w:hAnsi="Arial" w:cs="Arial"/>
          <w:sz w:val="20"/>
          <w:szCs w:val="20"/>
        </w:rPr>
      </w:pPr>
      <w:r>
        <w:rPr>
          <w:rFonts w:ascii="Arial" w:hAnsi="Arial" w:cs="Arial"/>
          <w:sz w:val="20"/>
          <w:szCs w:val="20"/>
        </w:rPr>
        <w:t xml:space="preserve">The Closing Date Working Capital will be calculated in accordance with this Exhibit </w:t>
      </w:r>
      <w:r w:rsidR="009B029D">
        <w:rPr>
          <w:rFonts w:ascii="Arial" w:hAnsi="Arial" w:cs="Arial"/>
          <w:sz w:val="20"/>
          <w:szCs w:val="20"/>
        </w:rPr>
        <w:t>I</w:t>
      </w:r>
      <w:r>
        <w:rPr>
          <w:rFonts w:ascii="Arial" w:hAnsi="Arial" w:cs="Arial"/>
          <w:sz w:val="20"/>
          <w:szCs w:val="20"/>
        </w:rPr>
        <w:t xml:space="preserve"> in the same way for </w:t>
      </w:r>
      <w:r w:rsidR="0047420F">
        <w:rPr>
          <w:rFonts w:ascii="Arial" w:hAnsi="Arial" w:cs="Arial"/>
          <w:sz w:val="20"/>
          <w:szCs w:val="20"/>
        </w:rPr>
        <w:t xml:space="preserve">both </w:t>
      </w:r>
      <w:r>
        <w:rPr>
          <w:rFonts w:ascii="Arial" w:hAnsi="Arial" w:cs="Arial"/>
          <w:sz w:val="20"/>
          <w:szCs w:val="20"/>
        </w:rPr>
        <w:t>Estimated Closing Working Capital and Closing Date Working Capital included in the computation of resulting adjustment in accordance with APA Section 2.2.4 (</w:t>
      </w:r>
      <w:r>
        <w:rPr>
          <w:rFonts w:ascii="Arial" w:hAnsi="Arial" w:cs="Arial"/>
          <w:i/>
          <w:iCs/>
          <w:sz w:val="20"/>
          <w:szCs w:val="20"/>
        </w:rPr>
        <w:t>Settlement of Final Closing Adjustment</w:t>
      </w:r>
      <w:r>
        <w:rPr>
          <w:rFonts w:ascii="Arial" w:hAnsi="Arial" w:cs="Arial"/>
          <w:sz w:val="20"/>
          <w:szCs w:val="20"/>
        </w:rPr>
        <w:t xml:space="preserve">).  </w:t>
      </w:r>
    </w:p>
    <w:p w:rsidRPr="00266096" w:rsidR="003A6633" w:rsidP="003A6633" w:rsidRDefault="003A6633" w14:paraId="4711EFA3" w14:textId="77777777">
      <w:pPr>
        <w:spacing w:after="240"/>
        <w:jc w:val="both"/>
        <w:rPr>
          <w:rFonts w:ascii="Arial" w:hAnsi="Arial" w:cs="Arial"/>
          <w:sz w:val="20"/>
          <w:szCs w:val="20"/>
        </w:rPr>
      </w:pPr>
      <w:r>
        <w:rPr>
          <w:rFonts w:ascii="Arial" w:hAnsi="Arial" w:cs="Arial"/>
          <w:sz w:val="20"/>
          <w:szCs w:val="20"/>
        </w:rPr>
        <w:t>The Closing Date Working Capital will be calculated using only those Seller current assets and current liabilities as of the Closing Date that appear in the sample computation of Closing Date Working Capital below, and the amounts associated with those line items will be the amounts reflected in the financial records Seller maintains in the ordinary course of business consistent with past practice, as further provided below.</w:t>
      </w:r>
    </w:p>
    <w:p w:rsidRPr="00266096" w:rsidR="003A6633" w:rsidP="003A6633" w:rsidRDefault="003A6633" w14:paraId="16230D78" w14:textId="62541F20">
      <w:pPr>
        <w:spacing w:after="240"/>
        <w:jc w:val="both"/>
        <w:rPr>
          <w:rFonts w:ascii="Arial" w:hAnsi="Arial" w:cs="Arial"/>
          <w:sz w:val="20"/>
          <w:szCs w:val="20"/>
        </w:rPr>
      </w:pPr>
      <w:r>
        <w:rPr>
          <w:rFonts w:ascii="Arial" w:hAnsi="Arial" w:cs="Arial"/>
          <w:sz w:val="20"/>
          <w:szCs w:val="20"/>
        </w:rPr>
        <w:t xml:space="preserve">The current assets and current liabilities each will be determined in accordance with GAAP consistent with the accounting practices, policies, levels of aggregation, classification of assets and liabilities, reserves, degree of conservatism, and methodologies used in the preparation of the </w:t>
      </w:r>
      <w:r>
        <w:rPr>
          <w:rFonts w:ascii="Arial" w:hAnsi="Arial" w:cs="Arial"/>
          <w:sz w:val="20"/>
          <w:szCs w:val="20"/>
          <w:highlight w:val="yellow"/>
        </w:rPr>
        <w:t>#YearofMostRecentAnnualFinancialStatements</w:t>
      </w:r>
      <w:r>
        <w:rPr>
          <w:rFonts w:ascii="Arial" w:hAnsi="Arial" w:cs="Arial"/>
          <w:sz w:val="20"/>
          <w:szCs w:val="20"/>
        </w:rPr>
        <w:t xml:space="preserve"> balance sheet of Seller (except as set forth in this Exhibit </w:t>
      </w:r>
      <w:r w:rsidR="009B029D">
        <w:rPr>
          <w:rFonts w:ascii="Arial" w:hAnsi="Arial" w:cs="Arial"/>
          <w:sz w:val="20"/>
          <w:szCs w:val="20"/>
        </w:rPr>
        <w:t>I</w:t>
      </w:r>
      <w:r>
        <w:rPr>
          <w:rFonts w:ascii="Arial" w:hAnsi="Arial" w:cs="Arial"/>
          <w:sz w:val="20"/>
          <w:szCs w:val="20"/>
        </w:rPr>
        <w:t>, including regarding the line items that will be included as current assets and current liabilities).</w:t>
      </w:r>
    </w:p>
    <w:p w:rsidRPr="00266096" w:rsidR="003A6633" w:rsidP="003A6633" w:rsidRDefault="00CA664E" w14:paraId="59C8727C" w14:textId="77777777">
      <w:pPr>
        <w:spacing w:after="240"/>
        <w:jc w:val="both"/>
        <w:rPr>
          <w:rFonts w:ascii="Arial" w:hAnsi="Arial" w:cs="Arial"/>
          <w:sz w:val="20"/>
          <w:szCs w:val="20"/>
        </w:rPr>
      </w:pPr>
      <w:r>
        <w:rPr>
          <w:rFonts w:ascii="Arial" w:hAnsi="Arial" w:cs="Arial"/>
          <w:sz w:val="20"/>
          <w:szCs w:val="20"/>
        </w:rPr>
        <w:t>Despite the preceding paragraph or GAAP:</w:t>
      </w:r>
    </w:p>
    <w:p w:rsidRPr="00266096" w:rsidR="003A6633" w:rsidP="00EC532C" w:rsidRDefault="003A6633" w14:paraId="79DCDA3B" w14:textId="77777777">
      <w:pPr>
        <w:pStyle w:val="ListParagraph"/>
        <w:numPr>
          <w:ilvl w:val="0"/>
          <w:numId w:val="20"/>
        </w:numPr>
        <w:tabs>
          <w:tab w:val="left" w:pos="374"/>
        </w:tabs>
        <w:spacing w:after="240"/>
        <w:ind w:left="0" w:firstLine="0"/>
        <w:rPr>
          <w:rFonts w:ascii="Arial" w:hAnsi="Arial" w:cs="Arial"/>
          <w:sz w:val="20"/>
          <w:szCs w:val="20"/>
        </w:rPr>
      </w:pPr>
      <w:r>
        <w:rPr>
          <w:rFonts w:ascii="Arial" w:hAnsi="Arial" w:cs="Arial"/>
          <w:sz w:val="20"/>
          <w:szCs w:val="20"/>
          <w:highlight w:val="yellow"/>
        </w:rPr>
        <w:t>[Specific Accounting Methodologies TBD]</w:t>
      </w:r>
    </w:p>
    <w:p w:rsidRPr="00266096" w:rsidR="003A6633" w:rsidP="003A6633" w:rsidRDefault="003A6633" w14:paraId="28AD0BD0" w14:textId="77777777">
      <w:pPr>
        <w:pStyle w:val="ListParagraph"/>
        <w:rPr>
          <w:rFonts w:ascii="Arial" w:hAnsi="Arial" w:cs="Arial"/>
          <w:sz w:val="20"/>
          <w:szCs w:val="20"/>
        </w:rPr>
      </w:pPr>
    </w:p>
    <w:p w:rsidRPr="00266096" w:rsidR="003A6633" w:rsidP="00EC532C" w:rsidRDefault="003A6633" w14:paraId="11AAE024" w14:textId="77777777">
      <w:pPr>
        <w:pStyle w:val="ListParagraph"/>
        <w:numPr>
          <w:ilvl w:val="0"/>
          <w:numId w:val="20"/>
        </w:numPr>
        <w:tabs>
          <w:tab w:val="left" w:pos="374"/>
        </w:tabs>
        <w:spacing w:after="240"/>
        <w:ind w:left="0" w:firstLine="0"/>
        <w:rPr>
          <w:rFonts w:ascii="Arial" w:hAnsi="Arial" w:cs="Arial"/>
          <w:sz w:val="20"/>
          <w:szCs w:val="20"/>
        </w:rPr>
      </w:pPr>
      <w:r>
        <w:rPr>
          <w:rFonts w:ascii="Arial" w:hAnsi="Arial" w:cs="Arial"/>
          <w:sz w:val="20"/>
          <w:szCs w:val="20"/>
        </w:rPr>
        <w:t xml:space="preserve">The sample computation of Closing Date Working Capital below illustrates the computation of Closing Date Working Capital, using amounts outstanding for those items as of </w:t>
      </w:r>
      <w:r>
        <w:rPr>
          <w:rFonts w:ascii="Arial" w:hAnsi="Arial" w:cs="Arial"/>
          <w:sz w:val="20"/>
          <w:szCs w:val="20"/>
          <w:highlight w:val="yellow"/>
        </w:rPr>
        <w:t>#RecentMonthEndBeforeEffectiveDate</w:t>
      </w:r>
      <w:r>
        <w:rPr>
          <w:rFonts w:ascii="Arial" w:hAnsi="Arial" w:cs="Arial"/>
          <w:sz w:val="20"/>
          <w:szCs w:val="20"/>
        </w:rPr>
        <w:t>.</w:t>
      </w:r>
    </w:p>
    <w:p w:rsidR="00B55D23" w:rsidP="003A6633" w:rsidRDefault="00B55D23" w14:paraId="636573AF" w14:textId="77777777">
      <w:pPr>
        <w:spacing w:after="240"/>
        <w:jc w:val="center"/>
        <w:rPr>
          <w:rFonts w:ascii="Arial" w:hAnsi="Arial" w:cs="Arial"/>
          <w:b/>
          <w:bCs/>
          <w:i/>
          <w:sz w:val="20"/>
          <w:szCs w:val="20"/>
        </w:rPr>
      </w:pPr>
    </w:p>
    <w:p w:rsidR="003A6633" w:rsidP="003A6633" w:rsidRDefault="003A6633" w14:paraId="4613D9AA" w14:textId="77777777">
      <w:pPr>
        <w:spacing w:after="240"/>
        <w:jc w:val="center"/>
        <w:rPr>
          <w:rFonts w:ascii="Arial" w:hAnsi="Arial" w:cs="Arial"/>
          <w:b/>
          <w:bCs/>
          <w:i/>
          <w:sz w:val="20"/>
          <w:szCs w:val="20"/>
        </w:rPr>
      </w:pPr>
      <w:r>
        <w:rPr>
          <w:rFonts w:ascii="Arial" w:hAnsi="Arial" w:cs="Arial"/>
          <w:b/>
          <w:bCs/>
          <w:i/>
          <w:sz w:val="20"/>
          <w:szCs w:val="20"/>
        </w:rPr>
        <w:t xml:space="preserve">Remainder of Page Intentionally Left Blank; </w:t>
      </w:r>
      <w:r>
        <w:rPr>
          <w:rFonts w:ascii="Arial" w:hAnsi="Arial" w:cs="Arial"/>
          <w:b/>
          <w:bCs/>
          <w:i/>
          <w:sz w:val="20"/>
          <w:szCs w:val="20"/>
        </w:rPr>
        <w:br/>
        <w:t>Sample Computation of Closing Date Working Capital Follows on Next Page</w:t>
      </w:r>
    </w:p>
    <w:p w:rsidR="00F65D7B" w:rsidP="00F65D7B" w:rsidRDefault="00F65D7B" w14:paraId="10A33FA9" w14:textId="77777777">
      <w:pPr>
        <w:pStyle w:val="zGNormal"/>
        <w:sectPr w:rsidR="00F65D7B" w:rsidSect="00C11AB5">
          <w:headerReference w:type="even" r:id="rId59"/>
          <w:headerReference w:type="default" r:id="rId60"/>
          <w:footerReference w:type="even" r:id="rId61"/>
          <w:footerReference w:type="default" r:id="rId62"/>
          <w:headerReference w:type="first" r:id="rId63"/>
          <w:footerReference w:type="first" r:id="rId64"/>
          <w:pgSz w:w="12240" w:h="15840" w:code="1"/>
          <w:pgMar w:top="1080" w:right="1080" w:bottom="936" w:left="1224" w:header="432" w:footer="576" w:gutter="0"/>
          <w:cols w:space="720"/>
          <w:docGrid w:linePitch="360"/>
        </w:sectPr>
      </w:pPr>
    </w:p>
    <w:p w:rsidRPr="00B543F9" w:rsidR="00F65D7B" w:rsidP="00B543F9" w:rsidRDefault="00F65D7B" w14:paraId="61CDF0C3" w14:textId="0061FE7B">
      <w:pPr>
        <w:pStyle w:val="zGNormal"/>
        <w:jc w:val="center"/>
        <w:rPr>
          <w:rFonts w:ascii="Arial Bold" w:hAnsi="Arial Bold"/>
          <w:b/>
          <w:bCs/>
          <w:caps/>
          <w:sz w:val="22"/>
          <w:szCs w:val="22"/>
          <w:u w:val="single"/>
        </w:rPr>
      </w:pPr>
      <w:r>
        <w:rPr>
          <w:rFonts w:ascii="Arial Bold" w:hAnsi="Arial Bold"/>
          <w:b/>
          <w:bCs/>
          <w:caps/>
          <w:sz w:val="22"/>
          <w:szCs w:val="22"/>
          <w:u w:val="single"/>
        </w:rPr>
        <w:lastRenderedPageBreak/>
        <w:t xml:space="preserve">Exhibit </w:t>
      </w:r>
      <w:r w:rsidR="009B029D">
        <w:rPr>
          <w:rFonts w:ascii="Arial Bold" w:hAnsi="Arial Bold"/>
          <w:b/>
          <w:bCs/>
          <w:caps/>
          <w:sz w:val="22"/>
          <w:szCs w:val="22"/>
          <w:u w:val="single"/>
        </w:rPr>
        <w:t>I</w:t>
      </w:r>
      <w:r>
        <w:rPr>
          <w:rFonts w:ascii="Arial Bold" w:hAnsi="Arial Bold"/>
          <w:b/>
          <w:bCs/>
          <w:caps/>
          <w:sz w:val="22"/>
          <w:szCs w:val="22"/>
          <w:u w:val="single"/>
        </w:rPr>
        <w:t xml:space="preserve"> – Attachment 1 – Sample Calculation of Closing Date Working Capital</w:t>
      </w:r>
    </w:p>
    <w:p w:rsidR="00F65D7B" w:rsidP="00F65D7B" w:rsidRDefault="00F65D7B" w14:paraId="349A55C9" w14:textId="77777777">
      <w:pPr>
        <w:pStyle w:val="zGNormal"/>
      </w:pPr>
    </w:p>
    <w:p w:rsidR="00F65D7B" w:rsidP="00F65D7B" w:rsidRDefault="00F65D7B" w14:paraId="1FD9DDE8" w14:textId="77777777">
      <w:pPr>
        <w:pStyle w:val="zGNormal"/>
      </w:pPr>
    </w:p>
    <w:p w:rsidR="00F65D7B" w:rsidP="00F65D7B" w:rsidRDefault="00F65D7B" w14:paraId="0422D79D" w14:textId="77777777">
      <w:pPr>
        <w:pStyle w:val="zGNormal"/>
      </w:pPr>
    </w:p>
    <w:p w:rsidR="00F65D7B" w:rsidP="00F65D7B" w:rsidRDefault="00F65D7B" w14:paraId="47B65CB4" w14:textId="77777777">
      <w:pPr>
        <w:pStyle w:val="zGNormal"/>
      </w:pPr>
    </w:p>
    <w:p w:rsidRPr="00F65D7B" w:rsidR="00F65D7B" w:rsidP="00F65D7B" w:rsidRDefault="00764389" w14:paraId="3A0F47D9" w14:textId="77777777">
      <w:pPr>
        <w:pStyle w:val="zGNormal"/>
        <w:jc w:val="center"/>
        <w:rPr>
          <w:iCs/>
        </w:rPr>
      </w:pPr>
      <w:r>
        <w:rPr>
          <w:b/>
          <w:bCs/>
          <w:iCs/>
          <w:highlight w:val="yellow"/>
        </w:rPr>
        <w:t>[Add Sample Computation of Closing Date Working Capital]</w:t>
      </w:r>
    </w:p>
    <w:p w:rsidR="00F65D7B" w:rsidP="00F65D7B" w:rsidRDefault="00F65D7B" w14:paraId="77441D3B" w14:textId="77777777">
      <w:pPr>
        <w:pStyle w:val="zGNormal"/>
      </w:pPr>
    </w:p>
    <w:p w:rsidR="00F65D7B" w:rsidP="00F65D7B" w:rsidRDefault="00F65D7B" w14:paraId="0B2252A1" w14:textId="77777777">
      <w:pPr>
        <w:pStyle w:val="zGNormal"/>
      </w:pPr>
    </w:p>
    <w:p w:rsidR="00F65D7B" w:rsidP="00F65D7B" w:rsidRDefault="00F65D7B" w14:paraId="3EC89712" w14:textId="77777777">
      <w:pPr>
        <w:pStyle w:val="zGNormal"/>
      </w:pPr>
    </w:p>
    <w:p w:rsidR="00F65D7B" w:rsidP="00F65D7B" w:rsidRDefault="00F65D7B" w14:paraId="30586A4D" w14:textId="77777777">
      <w:pPr>
        <w:pStyle w:val="zGNormal"/>
      </w:pPr>
    </w:p>
    <w:p w:rsidR="00F65D7B" w:rsidP="00F65D7B" w:rsidRDefault="00F65D7B" w14:paraId="4AF2E0DE" w14:textId="77777777">
      <w:pPr>
        <w:pStyle w:val="zGNormal"/>
      </w:pPr>
    </w:p>
    <w:p w:rsidRPr="00B55D23" w:rsidR="00F65D7B" w:rsidP="00F65D7B" w:rsidRDefault="00F65D7B" w14:paraId="62A976C5" w14:textId="77777777">
      <w:pPr>
        <w:pStyle w:val="zGNormal"/>
      </w:pPr>
    </w:p>
    <w:p w:rsidRPr="00906419" w:rsidR="00906419" w:rsidP="00906419" w:rsidRDefault="00906419" w14:paraId="1A3E4068" w14:textId="77777777">
      <w:pPr>
        <w:pStyle w:val="zGNormal6"/>
      </w:pPr>
    </w:p>
    <w:p w:rsidR="00906878" w:rsidRDefault="00906878" w14:paraId="61398B47" w14:textId="77777777">
      <w:pPr>
        <w:rPr>
          <w:sz w:val="24"/>
        </w:rPr>
      </w:pPr>
    </w:p>
    <w:p w:rsidR="00906878" w:rsidRDefault="00906878" w14:paraId="77A11727" w14:textId="77777777">
      <w:pPr>
        <w:rPr>
          <w:sz w:val="24"/>
        </w:rPr>
      </w:pPr>
    </w:p>
    <w:sectPr w:rsidR="00906878" w:rsidSect="00537FC1">
      <w:headerReference w:type="default" r:id="rId65"/>
      <w:footerReference w:type="default" r:id="rId66"/>
      <w:pgSz w:w="12240" w:h="15840" w:code="1"/>
      <w:pgMar w:top="1080" w:right="1080" w:bottom="936" w:left="1224" w:header="432"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4377" w:rsidP="00C958B6" w:rsidRDefault="003A4377" w14:paraId="0F00962A" w14:textId="77777777">
      <w:pPr>
        <w:spacing w:after="0" w:line="240" w:lineRule="auto"/>
      </w:pPr>
      <w:r>
        <w:separator/>
      </w:r>
    </w:p>
  </w:endnote>
  <w:endnote w:type="continuationSeparator" w:id="0">
    <w:p w:rsidR="003A4377" w:rsidP="00C958B6" w:rsidRDefault="003A4377" w14:paraId="65A60B0F" w14:textId="77777777">
      <w:pPr>
        <w:spacing w:after="0" w:line="240" w:lineRule="auto"/>
      </w:pPr>
      <w:r>
        <w:continuationSeparator/>
      </w:r>
    </w:p>
  </w:endnote>
  <w:endnote w:type="continuationNotice" w:id="1">
    <w:p w:rsidR="003A4377" w:rsidRDefault="003A4377" w14:paraId="49966BB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F326F" w:rsidR="00B25EB8" w:rsidP="00CF326F" w:rsidRDefault="00CF326F" w14:paraId="0F44526C" w14:textId="3C9B0594">
    <w:pPr>
      <w:pStyle w:val="Footer"/>
      <w:tabs>
        <w:tab w:val="clear" w:pos="9360"/>
        <w:tab w:val="right" w:pos="10080"/>
      </w:tabs>
      <w:jc w:val="center"/>
      <w:rPr>
        <w:rFonts w:ascii="Arial" w:hAnsi="Arial" w:cs="Arial"/>
        <w:sz w:val="16"/>
        <w:szCs w:val="16"/>
      </w:rPr>
    </w:pPr>
    <w:r>
      <w:rPr>
        <w:rFonts w:ascii="Arial" w:hAnsi="Arial" w:cs="Arial"/>
        <w:sz w:val="16"/>
        <w:szCs w:val="16"/>
      </w:rPr>
      <w:t>Pro Forma APA (</w:t>
    </w:r>
    <w:r w:rsidR="00537FC1">
      <w:rPr>
        <w:rFonts w:ascii="Arial" w:hAnsi="Arial" w:cs="Arial"/>
        <w:sz w:val="16"/>
        <w:szCs w:val="16"/>
      </w:rPr>
      <w:t xml:space="preserve">32–33 </w:t>
    </w:r>
    <w:r>
      <w:rPr>
        <w:rFonts w:ascii="Arial" w:hAnsi="Arial" w:cs="Arial"/>
        <w:sz w:val="16"/>
        <w:szCs w:val="16"/>
      </w:rPr>
      <w:t>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rPr>
      <w:t>2</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rPr>
      <w:t>42</w:t>
    </w:r>
    <w:r>
      <w:rPr>
        <w:rFonts w:ascii="Arial" w:hAnsi="Arial" w:cs="Arial"/>
        <w:sz w:val="16"/>
        <w:szCs w:val="16"/>
      </w:rPr>
      <w:tab/>
    </w:r>
    <w:r>
      <w:rPr>
        <w:rFonts w:ascii="Arial" w:hAnsi="Arial" w:cs="Arial"/>
        <w:sz w:val="16"/>
        <w:szCs w:val="16"/>
        <w:highlight w:val="yellow"/>
      </w:rPr>
      <w:t>#FacilityName#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028857EF" w14:textId="77777777">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F326F" w:rsidR="00B25EB8" w:rsidP="00CF326F" w:rsidRDefault="00CF326F" w14:paraId="7476EE8A" w14:textId="77777777">
    <w:pPr>
      <w:pStyle w:val="Footer"/>
      <w:tabs>
        <w:tab w:val="clear" w:pos="9360"/>
        <w:tab w:val="right" w:pos="10080"/>
      </w:tabs>
      <w:jc w:val="center"/>
      <w:rPr>
        <w:rFonts w:ascii="Arial" w:hAnsi="Arial" w:cs="Arial"/>
        <w:sz w:val="16"/>
        <w:szCs w:val="16"/>
      </w:rPr>
    </w:pPr>
    <w:r>
      <w:rPr>
        <w:rFonts w:ascii="Arial" w:hAnsi="Arial" w:cs="Arial"/>
        <w:sz w:val="16"/>
        <w:szCs w:val="16"/>
      </w:rPr>
      <w:t>Pro Forma APA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rPr>
      <w:t>2</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rPr>
      <w:t>42</w:t>
    </w:r>
    <w:r>
      <w:rPr>
        <w:rFonts w:ascii="Arial" w:hAnsi="Arial" w:cs="Arial"/>
        <w:sz w:val="16"/>
        <w:szCs w:val="16"/>
      </w:rPr>
      <w:tab/>
    </w:r>
    <w:r>
      <w:rPr>
        <w:rFonts w:ascii="Arial" w:hAnsi="Arial" w:cs="Arial"/>
        <w:sz w:val="16"/>
        <w:szCs w:val="16"/>
        <w:highlight w:val="yellow"/>
      </w:rPr>
      <w:t>#FacilityName#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D566FE" w:rsidP="00537FC1" w:rsidRDefault="00537FC1" w14:paraId="387480ED" w14:textId="1D692993">
    <w:pPr>
      <w:pStyle w:val="Footer"/>
      <w:tabs>
        <w:tab w:val="clear" w:pos="9360"/>
        <w:tab w:val="right" w:pos="10080"/>
      </w:tabs>
      <w:jc w:val="center"/>
      <w:rPr>
        <w:rFonts w:ascii="Arial" w:hAnsi="Arial" w:cs="Arial"/>
        <w:sz w:val="16"/>
        <w:szCs w:val="16"/>
      </w:rP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88</w:t>
    </w:r>
    <w:r>
      <w:rPr>
        <w:rFonts w:ascii="Arial" w:hAnsi="Arial" w:cs="Arial"/>
        <w:sz w:val="16"/>
        <w:szCs w:val="16"/>
      </w:rPr>
      <w:tab/>
    </w:r>
    <w:r>
      <w:rPr>
        <w:rFonts w:ascii="Arial" w:hAnsi="Arial" w:cs="Arial"/>
        <w:sz w:val="16"/>
        <w:szCs w:val="16"/>
        <w:highlight w:val="yellow"/>
      </w:rPr>
      <w:t>#FacilityName#</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1B7BBD59" w14:textId="7777777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B25EB8" w:rsidP="00537FC1" w:rsidRDefault="00537FC1" w14:paraId="347E3661" w14:textId="0C90D500">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64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87</w:t>
    </w:r>
    <w:r>
      <w:rPr>
        <w:rFonts w:ascii="Arial" w:hAnsi="Arial" w:cs="Arial"/>
        <w:sz w:val="16"/>
        <w:szCs w:val="16"/>
      </w:rPr>
      <w:tab/>
    </w:r>
    <w:r>
      <w:rPr>
        <w:rFonts w:ascii="Arial" w:hAnsi="Arial" w:cs="Arial"/>
        <w:sz w:val="16"/>
        <w:szCs w:val="16"/>
        <w:highlight w:val="yellow"/>
      </w:rPr>
      <w:t>#FacilityName#</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537FC1" w14:paraId="637F31C7" w14:textId="11D67106">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88</w:t>
    </w:r>
    <w:r>
      <w:rPr>
        <w:rFonts w:ascii="Arial" w:hAnsi="Arial" w:cs="Arial"/>
        <w:sz w:val="16"/>
        <w:szCs w:val="16"/>
      </w:rPr>
      <w:tab/>
    </w:r>
    <w:r>
      <w:rPr>
        <w:rFonts w:ascii="Arial" w:hAnsi="Arial" w:cs="Arial"/>
        <w:sz w:val="16"/>
        <w:szCs w:val="16"/>
        <w:highlight w:val="yellow"/>
      </w:rPr>
      <w:t>#FacilityName#</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02F17EE7" w14:textId="77777777">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B25EB8" w:rsidP="00537FC1" w:rsidRDefault="00537FC1" w14:paraId="6F7B5FFA" w14:textId="66108376">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64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87</w:t>
    </w:r>
    <w:r>
      <w:rPr>
        <w:rFonts w:ascii="Arial" w:hAnsi="Arial" w:cs="Arial"/>
        <w:sz w:val="16"/>
        <w:szCs w:val="16"/>
      </w:rPr>
      <w:tab/>
    </w:r>
    <w:r>
      <w:rPr>
        <w:rFonts w:ascii="Arial" w:hAnsi="Arial" w:cs="Arial"/>
        <w:sz w:val="16"/>
        <w:szCs w:val="16"/>
        <w:highlight w:val="yellow"/>
      </w:rPr>
      <w:t>#FacilityName#</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4C478BD9" w14:textId="7777777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39491A1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3CBBDF54" w14:textId="77777777">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B25EB8" w:rsidP="00537FC1" w:rsidRDefault="00537FC1" w14:paraId="40A80A3D" w14:textId="79421CB6">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64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87</w:t>
    </w:r>
    <w:r>
      <w:rPr>
        <w:rFonts w:ascii="Arial" w:hAnsi="Arial" w:cs="Arial"/>
        <w:sz w:val="16"/>
        <w:szCs w:val="16"/>
      </w:rPr>
      <w:tab/>
    </w:r>
    <w:r>
      <w:rPr>
        <w:rFonts w:ascii="Arial" w:hAnsi="Arial" w:cs="Arial"/>
        <w:sz w:val="16"/>
        <w:szCs w:val="16"/>
        <w:highlight w:val="yellow"/>
      </w:rPr>
      <w:t>#FacilityName#</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75CCB0D8" w14:textId="77777777">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091EF447" w14:textId="7777777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B25EB8" w:rsidP="00537FC1" w:rsidRDefault="00537FC1" w14:paraId="47BC37DB" w14:textId="5D91666E">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64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87</w:t>
    </w:r>
    <w:r>
      <w:rPr>
        <w:rFonts w:ascii="Arial" w:hAnsi="Arial" w:cs="Arial"/>
        <w:sz w:val="16"/>
        <w:szCs w:val="16"/>
      </w:rPr>
      <w:tab/>
    </w:r>
    <w:r>
      <w:rPr>
        <w:rFonts w:ascii="Arial" w:hAnsi="Arial" w:cs="Arial"/>
        <w:sz w:val="16"/>
        <w:szCs w:val="16"/>
        <w:highlight w:val="yellow"/>
      </w:rPr>
      <w:t>#FacilityName#</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1538AED8" w14:textId="77777777">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58C154E4" w14:textId="77777777">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B25EB8" w:rsidP="00537FC1" w:rsidRDefault="00537FC1" w14:paraId="7B07703A" w14:textId="15D46074">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64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87</w:t>
    </w:r>
    <w:r>
      <w:rPr>
        <w:rFonts w:ascii="Arial" w:hAnsi="Arial" w:cs="Arial"/>
        <w:sz w:val="16"/>
        <w:szCs w:val="16"/>
      </w:rPr>
      <w:tab/>
    </w:r>
    <w:r>
      <w:rPr>
        <w:rFonts w:ascii="Arial" w:hAnsi="Arial" w:cs="Arial"/>
        <w:sz w:val="16"/>
        <w:szCs w:val="16"/>
        <w:highlight w:val="yellow"/>
      </w:rPr>
      <w:t>#FacilityName#</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742027C9" w14:textId="77777777">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13FE1" w:rsidR="0093071C" w:rsidP="00B13FE1" w:rsidRDefault="00B13FE1" w14:paraId="52A8CEA5" w14:textId="4A933AE3">
    <w:pPr>
      <w:pStyle w:val="Foote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86</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87</w:t>
    </w:r>
    <w:r>
      <w:rPr>
        <w:rFonts w:ascii="Arial" w:hAnsi="Arial" w:cs="Arial"/>
        <w:sz w:val="16"/>
        <w:szCs w:val="16"/>
      </w:rPr>
      <w:tab/>
    </w:r>
    <w:r>
      <w:rPr>
        <w:rFonts w:ascii="Arial" w:hAnsi="Arial" w:cs="Arial"/>
        <w:sz w:val="16"/>
        <w:szCs w:val="16"/>
        <w:highlight w:val="yellow"/>
      </w:rPr>
      <w:t>#FacilityName#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75AD1DCA"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002745A3"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B25EB8" w:rsidP="00537FC1" w:rsidRDefault="00537FC1" w14:paraId="682BB88A" w14:textId="18264FF0">
    <w:pPr>
      <w:pStyle w:val="Footer"/>
      <w:tabs>
        <w:tab w:val="clear" w:pos="9360"/>
        <w:tab w:val="right" w:pos="10080"/>
      </w:tabs>
      <w:jc w:val="center"/>
      <w:rPr>
        <w:rFonts w:ascii="Arial" w:hAnsi="Arial" w:cs="Arial"/>
        <w:sz w:val="16"/>
        <w:szCs w:val="16"/>
      </w:rP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4</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88</w:t>
    </w:r>
    <w:r>
      <w:rPr>
        <w:rFonts w:ascii="Arial" w:hAnsi="Arial" w:cs="Arial"/>
        <w:sz w:val="16"/>
        <w:szCs w:val="16"/>
      </w:rPr>
      <w:tab/>
    </w:r>
    <w:r>
      <w:rPr>
        <w:rFonts w:ascii="Arial" w:hAnsi="Arial" w:cs="Arial"/>
        <w:sz w:val="16"/>
        <w:szCs w:val="16"/>
        <w:highlight w:val="yellow"/>
      </w:rPr>
      <w:t>#FacilityName#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37FC1" w:rsidR="00D566FE" w:rsidP="00537FC1" w:rsidRDefault="00537FC1" w14:paraId="07C0A1C3" w14:textId="0FEE21EC">
    <w:pPr>
      <w:pStyle w:val="Footer"/>
      <w:tabs>
        <w:tab w:val="clear" w:pos="9360"/>
        <w:tab w:val="right" w:pos="10080"/>
      </w:tabs>
      <w:jc w:val="center"/>
      <w:rPr>
        <w:rFonts w:ascii="Arial" w:hAnsi="Arial" w:cs="Arial"/>
        <w:sz w:val="16"/>
        <w:szCs w:val="16"/>
      </w:rPr>
    </w:pPr>
    <w:r>
      <w:rPr>
        <w:rFonts w:ascii="Arial" w:hAnsi="Arial" w:cs="Arial"/>
        <w:sz w:val="16"/>
        <w:szCs w:val="16"/>
      </w:rPr>
      <w:t>Pro Forma APA (32–33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shd w:val="clear" w:color="auto" w:fill="E6E6E6"/>
      </w:rPr>
      <w:t>1</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shd w:val="clear" w:color="auto" w:fill="E6E6E6"/>
      </w:rPr>
      <w:t>88</w:t>
    </w:r>
    <w:r>
      <w:rPr>
        <w:rFonts w:ascii="Arial" w:hAnsi="Arial" w:cs="Arial"/>
        <w:sz w:val="16"/>
        <w:szCs w:val="16"/>
      </w:rPr>
      <w:tab/>
    </w:r>
    <w:r>
      <w:rPr>
        <w:rFonts w:ascii="Arial" w:hAnsi="Arial" w:cs="Arial"/>
        <w:sz w:val="16"/>
        <w:szCs w:val="16"/>
        <w:highlight w:val="yellow"/>
      </w:rPr>
      <w:t>#FacilityName#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709E7828" w14:textId="7777777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F326F" w:rsidR="00B25EB8" w:rsidP="00CF326F" w:rsidRDefault="00CF326F" w14:paraId="7A0839EA" w14:textId="77777777">
    <w:pPr>
      <w:pStyle w:val="Footer"/>
      <w:tabs>
        <w:tab w:val="clear" w:pos="9360"/>
        <w:tab w:val="right" w:pos="10080"/>
      </w:tabs>
      <w:jc w:val="center"/>
      <w:rPr>
        <w:rFonts w:ascii="Arial" w:hAnsi="Arial" w:cs="Arial"/>
        <w:sz w:val="16"/>
        <w:szCs w:val="16"/>
      </w:rPr>
    </w:pPr>
    <w:r>
      <w:rPr>
        <w:rFonts w:ascii="Arial" w:hAnsi="Arial" w:cs="Arial"/>
        <w:sz w:val="16"/>
        <w:szCs w:val="16"/>
      </w:rPr>
      <w:t>Pro Forma APA (All-Source RFP)</w:t>
    </w:r>
    <w:r>
      <w:rPr>
        <w:rFonts w:ascii="Arial" w:hAnsi="Arial" w:cs="Arial"/>
        <w:sz w:val="16"/>
        <w:szCs w:val="16"/>
      </w:rPr>
      <w:tab/>
      <w:t xml:space="preserve">Page </w:t>
    </w:r>
    <w:r>
      <w:rPr>
        <w:rFonts w:ascii="Arial" w:hAnsi="Arial" w:cs="Arial"/>
        <w:sz w:val="16"/>
        <w:szCs w:val="16"/>
        <w:shd w:val="clear" w:color="auto" w:fill="E6E6E6"/>
      </w:rPr>
      <w:fldChar w:fldCharType="begin"/>
    </w:r>
    <w:r>
      <w:rPr>
        <w:rFonts w:ascii="Arial" w:hAnsi="Arial" w:cs="Arial"/>
        <w:sz w:val="16"/>
        <w:szCs w:val="16"/>
      </w:rPr>
      <w:instrText xml:space="preserve"> PAGE </w:instrText>
    </w:r>
    <w:r>
      <w:rPr>
        <w:rFonts w:ascii="Arial" w:hAnsi="Arial" w:cs="Arial"/>
        <w:sz w:val="16"/>
        <w:szCs w:val="16"/>
        <w:shd w:val="clear" w:color="auto" w:fill="E6E6E6"/>
      </w:rPr>
      <w:fldChar w:fldCharType="separate"/>
    </w:r>
    <w:r>
      <w:rPr>
        <w:rFonts w:ascii="Arial" w:hAnsi="Arial" w:cs="Arial"/>
        <w:sz w:val="16"/>
        <w:szCs w:val="16"/>
      </w:rPr>
      <w:t>2</w:t>
    </w:r>
    <w:r>
      <w:rPr>
        <w:rFonts w:ascii="Arial" w:hAnsi="Arial" w:cs="Arial"/>
        <w:sz w:val="16"/>
        <w:szCs w:val="16"/>
        <w:shd w:val="clear" w:color="auto" w:fill="E6E6E6"/>
      </w:rPr>
      <w:fldChar w:fldCharType="end"/>
    </w:r>
    <w:r>
      <w:rPr>
        <w:rFonts w:ascii="Arial" w:hAnsi="Arial" w:cs="Arial"/>
        <w:sz w:val="16"/>
        <w:szCs w:val="16"/>
      </w:rPr>
      <w:t xml:space="preserve"> of </w:t>
    </w:r>
    <w:r>
      <w:rPr>
        <w:rFonts w:ascii="Arial" w:hAnsi="Arial" w:cs="Arial"/>
        <w:noProof/>
        <w:sz w:val="16"/>
        <w:szCs w:val="16"/>
      </w:rPr>
      <w:t>42</w:t>
    </w:r>
    <w:r>
      <w:rPr>
        <w:rFonts w:ascii="Arial" w:hAnsi="Arial" w:cs="Arial"/>
        <w:sz w:val="16"/>
        <w:szCs w:val="16"/>
      </w:rPr>
      <w:tab/>
    </w:r>
    <w:r>
      <w:rPr>
        <w:rFonts w:ascii="Arial" w:hAnsi="Arial" w:cs="Arial"/>
        <w:sz w:val="16"/>
        <w:szCs w:val="16"/>
        <w:highlight w:val="yellow"/>
      </w:rPr>
      <w:t>#FacilityName#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710E49F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4377" w:rsidP="00C958B6" w:rsidRDefault="003A4377" w14:paraId="5BE09B4D" w14:textId="77777777">
      <w:pPr>
        <w:spacing w:after="0" w:line="240" w:lineRule="auto"/>
      </w:pPr>
      <w:r>
        <w:separator/>
      </w:r>
    </w:p>
  </w:footnote>
  <w:footnote w:type="continuationSeparator" w:id="0">
    <w:p w:rsidR="003A4377" w:rsidP="00C958B6" w:rsidRDefault="003A4377" w14:paraId="2E3D5352" w14:textId="77777777">
      <w:pPr>
        <w:spacing w:after="0" w:line="240" w:lineRule="auto"/>
      </w:pPr>
      <w:r>
        <w:continuationSeparator/>
      </w:r>
    </w:p>
  </w:footnote>
  <w:footnote w:type="continuationNotice" w:id="1">
    <w:p w:rsidR="003A4377" w:rsidRDefault="003A4377" w14:paraId="2CB578E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4D76CC" w:rsidP="004D76CC" w:rsidRDefault="00944BEE" w14:paraId="5394D24D" w14:textId="0DF7E3D3">
    <w:pPr>
      <w:pStyle w:val="Footer"/>
      <w:jc w:val="right"/>
      <w:rPr>
        <w:rFonts w:ascii="Arial" w:hAnsi="Arial" w:cs="Arial"/>
        <w:b/>
        <w:i/>
        <w:color w:val="FF0000"/>
        <w:sz w:val="20"/>
        <w:szCs w:val="20"/>
      </w:rPr>
    </w:pPr>
    <w:r>
      <w:rPr>
        <w:rFonts w:ascii="Arial" w:hAnsi="Arial" w:cs="Arial"/>
        <w:b/>
        <w:i/>
        <w:color w:val="FF0000"/>
        <w:sz w:val="20"/>
        <w:szCs w:val="20"/>
      </w:rPr>
      <w:t xml:space="preserve">32–33 </w:t>
    </w:r>
    <w:r w:rsidR="004D76CC">
      <w:rPr>
        <w:rFonts w:ascii="Arial" w:hAnsi="Arial" w:cs="Arial"/>
        <w:b/>
        <w:i/>
        <w:color w:val="FF0000"/>
        <w:sz w:val="20"/>
        <w:szCs w:val="20"/>
      </w:rPr>
      <w:t>All-Source RFP</w:t>
    </w:r>
  </w:p>
  <w:p w:rsidRPr="00877FA2" w:rsidR="004D76CC" w:rsidP="004D76CC" w:rsidRDefault="004D76CC" w14:paraId="0F54BC5A"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2431DE" w:rsidR="00180FA6" w:rsidP="0096073F" w:rsidRDefault="00EB7B40" w14:paraId="40CA7D25" w14:textId="3EF543AE">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35E61D3E" w14:textId="67E90BFA">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57FCAEEF"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537FC1" w:rsidRDefault="007C2CCD" w14:paraId="15F2A450" w14:textId="3BF0E956">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0331F680" w14:textId="0130CB78">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2ECA309E"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E34C40" w:rsidP="00F74B8A" w:rsidRDefault="007C2CCD" w14:paraId="3F0C6325" w14:textId="24346468">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3490A2C3" w14:textId="77777777">
    <w:pPr>
      <w:pStyle w:val="Foo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DF0152" w:rsidP="006A67A6" w:rsidRDefault="00DF0152" w14:paraId="4810B23E" w14:textId="77777777">
    <w:pPr>
      <w:pStyle w:val="Footer"/>
      <w:jc w:val="right"/>
      <w:rPr>
        <w:rFonts w:ascii="Arial" w:hAnsi="Arial" w:cs="Arial"/>
        <w:b/>
        <w:i/>
        <w:color w:val="FF0000"/>
        <w:sz w:val="20"/>
        <w:szCs w:val="20"/>
      </w:rPr>
    </w:pPr>
    <w:r>
      <w:rPr>
        <w:rFonts w:ascii="Arial" w:hAnsi="Arial" w:cs="Arial"/>
        <w:b/>
        <w:i/>
        <w:color w:val="FF0000"/>
        <w:sz w:val="20"/>
        <w:szCs w:val="20"/>
      </w:rPr>
      <w:t>All-Source Capacity RFP for 2029–2031</w:t>
    </w:r>
  </w:p>
  <w:p w:rsidRPr="00877FA2" w:rsidR="00DF0152" w:rsidP="006A67A6" w:rsidRDefault="00DF0152" w14:paraId="4392D4BB"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00697523" w:rsidP="006A67A6" w:rsidRDefault="00924C6D" w14:paraId="72F7EC76" w14:textId="77777777">
    <w:pPr>
      <w:pStyle w:val="Footer"/>
      <w:jc w:val="right"/>
      <w:rPr>
        <w:rFonts w:ascii="Arial" w:hAnsi="Arial" w:cs="Arial"/>
        <w:b/>
        <w:i/>
        <w:color w:val="FF0000"/>
        <w:sz w:val="20"/>
        <w:szCs w:val="20"/>
      </w:rPr>
    </w:pPr>
    <w:r>
      <w:rPr>
        <w:rFonts w:ascii="Arial" w:hAnsi="Arial" w:cs="Arial"/>
        <w:b/>
        <w:i/>
        <w:color w:val="FF0000"/>
        <w:sz w:val="20"/>
        <w:szCs w:val="20"/>
      </w:rPr>
      <w:t>Final Approved</w:t>
    </w:r>
  </w:p>
  <w:p w:rsidRPr="002431DE" w:rsidR="00180FA6" w:rsidP="006A67A6" w:rsidRDefault="00A16126" w14:paraId="2C37659A" w14:textId="77777777">
    <w:pPr>
      <w:pStyle w:val="Footer"/>
      <w:jc w:val="right"/>
      <w:rPr>
        <w:rFonts w:ascii="Arial" w:hAnsi="Arial" w:cs="Arial"/>
        <w:b/>
        <w:i/>
        <w:color w:val="FF0000"/>
        <w:sz w:val="20"/>
        <w:szCs w:val="20"/>
      </w:rPr>
    </w:pPr>
    <w:r>
      <w:rPr>
        <w:rFonts w:ascii="Arial" w:hAnsi="Arial" w:cs="Arial"/>
        <w:b/>
        <w:i/>
        <w:color w:val="FF0000"/>
        <w:sz w:val="20"/>
        <w:szCs w:val="20"/>
      </w:rPr>
      <w:t>Draft Revision (2024.11.04)</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7B2085" w:rsidP="007B2085" w:rsidRDefault="007B2085" w14:paraId="4DF48C83" w14:textId="77777777">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4D76CC" w:rsidP="004D76CC" w:rsidRDefault="004D76CC" w14:paraId="17A5C902"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015E00" w:rsidR="00E34C40" w:rsidP="00F74B8A" w:rsidRDefault="00AB556E" w14:paraId="49BF602D" w14:textId="08FCAD4C">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4217DDE2" w14:textId="77777777">
    <w:pPr>
      <w:pStyle w:val="Foot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6B088EF7" w14:textId="2BD30608">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426199A2"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F74B8A" w:rsidRDefault="00AB556E" w14:paraId="62B415E4" w14:textId="6090E2F9">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65E511F7" w14:textId="5D05BE26">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1FEF0B9F"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E34C40" w:rsidP="00F74B8A" w:rsidRDefault="00AB556E" w14:paraId="54A9847D" w14:textId="3160444C">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6133993F" w14:textId="7777777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5639E03D" w14:textId="37BC0841">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055C57B6"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F74B8A" w:rsidRDefault="00AB556E" w14:paraId="58EE9335" w14:textId="5528E948">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B2132" w:rsidR="00CB2132" w:rsidP="00CB2132" w:rsidRDefault="00CB2132" w14:paraId="5766AA8D" w14:textId="77777777">
    <w:pPr>
      <w:pStyle w:val="Header"/>
      <w:jc w:val="right"/>
      <w:rPr>
        <w:rFonts w:ascii="Arial" w:hAnsi="Arial" w:cs="Arial"/>
        <w:b/>
        <w:i/>
        <w:color w:val="FF0000"/>
        <w:sz w:val="20"/>
        <w:szCs w:val="20"/>
      </w:rPr>
    </w:pPr>
    <w:r>
      <w:rPr>
        <w:rFonts w:ascii="Arial" w:hAnsi="Arial" w:cs="Arial"/>
        <w:b/>
        <w:i/>
        <w:color w:val="FF0000"/>
        <w:sz w:val="20"/>
        <w:szCs w:val="20"/>
      </w:rPr>
      <w:t>All-Source Capacity RFP for 2029–2031</w:t>
    </w:r>
  </w:p>
  <w:p w:rsidRPr="00CB2132" w:rsidR="00CB2132" w:rsidP="00CB2132" w:rsidRDefault="00CB2132" w14:paraId="18A9B905" w14:textId="77777777">
    <w:pPr>
      <w:pStyle w:val="Header"/>
      <w:jc w:val="right"/>
      <w:rPr>
        <w:rFonts w:ascii="Arial" w:hAnsi="Arial" w:cs="Arial"/>
        <w:b/>
        <w:i/>
        <w:caps/>
        <w:color w:val="FF0000"/>
        <w:sz w:val="20"/>
        <w:szCs w:val="20"/>
      </w:rPr>
    </w:pPr>
    <w:r>
      <w:rPr>
        <w:rFonts w:ascii="Arial" w:hAnsi="Arial" w:cs="Arial"/>
        <w:b/>
        <w:i/>
        <w:color w:val="FF0000"/>
        <w:sz w:val="20"/>
        <w:szCs w:val="20"/>
      </w:rPr>
      <w:t>Pro Forma APA</w:t>
    </w:r>
  </w:p>
  <w:p w:rsidRPr="00015E00" w:rsidR="00E34C40" w:rsidP="00015E00" w:rsidRDefault="00BE5F04" w14:paraId="422BA778" w14:textId="77777777">
    <w:pPr>
      <w:pStyle w:val="Header"/>
      <w:spacing w:after="60"/>
      <w:jc w:val="right"/>
      <w:rPr>
        <w:rFonts w:ascii="Arial" w:hAnsi="Arial" w:cs="Arial"/>
        <w:b/>
        <w:i/>
        <w:color w:val="FF0000"/>
        <w:sz w:val="20"/>
        <w:szCs w:val="20"/>
      </w:rPr>
    </w:pPr>
    <w:r>
      <w:rPr>
        <w:rFonts w:ascii="Arial" w:hAnsi="Arial" w:cs="Arial"/>
        <w:b/>
        <w:i/>
        <w:color w:val="FF0000"/>
        <w:sz w:val="20"/>
        <w:szCs w:val="20"/>
      </w:rPr>
      <w:t>June 6, 2024, Update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75F29222" w14:textId="7777777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19B3D8BF" w14:textId="77777777">
    <w:pPr>
      <w:pStyle w:val="Foot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4FA343AC" w14:textId="282B48F9">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4568058F"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537FC1" w:rsidRDefault="00004F8B" w14:paraId="4CEE5282" w14:textId="5D0DF115">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78CD8EAD" w14:textId="77777777">
    <w:pPr>
      <w:pStyle w:val="Foot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7E20FD99" w14:textId="77777777">
    <w:pPr>
      <w:pStyle w:val="Foot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66499E22" w14:textId="5A066A4D">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314460A9"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96073F" w:rsidRDefault="00AB556E" w14:paraId="62DD0420" w14:textId="7AE6A4BE">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3CE207E7" w14:textId="77777777">
    <w:pPr>
      <w:pStyle w:val="Foot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13962DA6" w14:textId="77777777">
    <w:pPr>
      <w:pStyle w:val="Foot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4679D943" w14:textId="7E055784">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4B90BA14"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96073F" w:rsidRDefault="00AB556E" w14:paraId="04EBDD65" w14:textId="7D4AFF5C">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6EC7" w:rsidRDefault="00B36EC7" w14:paraId="4F43EC00" w14:textId="77777777">
    <w:pPr>
      <w:pStyle w:val="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21EBB74A" w14:textId="77777777">
    <w:pPr>
      <w:pStyle w:val="Foot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B13FE1" w:rsidP="00B13FE1" w:rsidRDefault="00B13FE1" w14:paraId="00E212A9" w14:textId="77777777">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B13FE1" w:rsidP="00B13FE1" w:rsidRDefault="00B13FE1" w14:paraId="7BF281CE"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B13FE1" w:rsidR="0093071C" w:rsidP="0096073F" w:rsidRDefault="00AB556E" w14:paraId="46EC30AE" w14:textId="413373D1">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28B3908B" w14:textId="30C9BA8A">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0BBCF413"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537FC1" w:rsidRDefault="00043F59" w14:paraId="264EFC39" w14:textId="24B50599">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B2132" w:rsidR="00CB2132" w:rsidP="00CB2132" w:rsidRDefault="00CB2132" w14:paraId="47EB4366" w14:textId="77777777">
    <w:pPr>
      <w:pStyle w:val="Footer"/>
      <w:jc w:val="right"/>
      <w:rPr>
        <w:rFonts w:ascii="Arial" w:hAnsi="Arial" w:cs="Arial"/>
        <w:b/>
        <w:i/>
        <w:color w:val="FF0000"/>
        <w:sz w:val="20"/>
        <w:szCs w:val="20"/>
      </w:rPr>
    </w:pPr>
    <w:r>
      <w:rPr>
        <w:rFonts w:ascii="Arial" w:hAnsi="Arial" w:cs="Arial"/>
        <w:b/>
        <w:i/>
        <w:color w:val="FF0000"/>
        <w:sz w:val="20"/>
        <w:szCs w:val="20"/>
      </w:rPr>
      <w:t>All-Source Capacity RFP for 2029–2031</w:t>
    </w:r>
  </w:p>
  <w:p w:rsidRPr="00CB2132" w:rsidR="00CB2132" w:rsidP="00CB2132" w:rsidRDefault="00CB2132" w14:paraId="27857061"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015E00" w:rsidR="00E34C40" w:rsidP="00015E00" w:rsidRDefault="00BE5F04" w14:paraId="4535084A" w14:textId="77777777">
    <w:pPr>
      <w:pStyle w:val="Footer"/>
      <w:spacing w:after="60"/>
      <w:jc w:val="right"/>
      <w:rPr>
        <w:rFonts w:ascii="Arial" w:hAnsi="Arial" w:cs="Arial"/>
        <w:b/>
        <w:i/>
        <w:color w:val="FF0000"/>
        <w:sz w:val="20"/>
        <w:szCs w:val="20"/>
      </w:rPr>
    </w:pPr>
    <w:r>
      <w:rPr>
        <w:rFonts w:ascii="Arial" w:hAnsi="Arial" w:cs="Arial"/>
        <w:b/>
        <w:i/>
        <w:color w:val="FF0000"/>
        <w:sz w:val="20"/>
        <w:szCs w:val="20"/>
      </w:rPr>
      <w:t>June 6, 2024, Update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1426F2B4" w14:textId="77777777">
    <w:pPr>
      <w:pStyle w:val="Foo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477F4202" w14:textId="19C00725">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78141BD8"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180FA6" w:rsidP="00537FC1" w:rsidRDefault="00626CD7" w14:paraId="0535A812" w14:textId="1F47DB0D">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7FA2" w:rsidR="00537FC1" w:rsidP="00537FC1" w:rsidRDefault="00537FC1" w14:paraId="31D41110" w14:textId="307F103B">
    <w:pPr>
      <w:pStyle w:val="Footer"/>
      <w:jc w:val="right"/>
      <w:rPr>
        <w:rFonts w:ascii="Arial" w:hAnsi="Arial" w:cs="Arial"/>
        <w:b/>
        <w:i/>
        <w:color w:val="FF0000"/>
        <w:sz w:val="20"/>
        <w:szCs w:val="20"/>
      </w:rPr>
    </w:pPr>
    <w:r>
      <w:rPr>
        <w:rFonts w:ascii="Arial" w:hAnsi="Arial" w:cs="Arial"/>
        <w:b/>
        <w:i/>
        <w:color w:val="FF0000"/>
        <w:sz w:val="20"/>
        <w:szCs w:val="20"/>
      </w:rPr>
      <w:t>32–33 All-Source RFP</w:t>
    </w:r>
  </w:p>
  <w:p w:rsidRPr="00877FA2" w:rsidR="00537FC1" w:rsidP="00537FC1" w:rsidRDefault="00537FC1" w14:paraId="2F9F7246" w14:textId="77777777">
    <w:pPr>
      <w:pStyle w:val="Footer"/>
      <w:jc w:val="right"/>
      <w:rPr>
        <w:rFonts w:ascii="Arial" w:hAnsi="Arial" w:cs="Arial"/>
        <w:b/>
        <w:i/>
        <w:caps/>
        <w:color w:val="FF0000"/>
        <w:sz w:val="20"/>
        <w:szCs w:val="20"/>
      </w:rPr>
    </w:pPr>
    <w:r>
      <w:rPr>
        <w:rFonts w:ascii="Arial" w:hAnsi="Arial" w:cs="Arial"/>
        <w:b/>
        <w:i/>
        <w:color w:val="FF0000"/>
        <w:sz w:val="20"/>
        <w:szCs w:val="20"/>
      </w:rPr>
      <w:t>Pro Forma APA</w:t>
    </w:r>
  </w:p>
  <w:p w:rsidRPr="00537FC1" w:rsidR="00E34C40" w:rsidP="00537FC1" w:rsidRDefault="00043F59" w14:paraId="1CE96048" w14:textId="62C120BD">
    <w:pPr>
      <w:pStyle w:val="Header"/>
      <w:jc w:val="right"/>
      <w:rPr>
        <w:rFonts w:ascii="Arial" w:hAnsi="Arial" w:cs="Arial"/>
        <w:b/>
        <w:i/>
        <w:color w:val="FF0000"/>
        <w:sz w:val="20"/>
        <w:szCs w:val="20"/>
      </w:rPr>
    </w:pPr>
    <w:r>
      <w:rPr>
        <w:rFonts w:ascii="Arial" w:hAnsi="Arial" w:cs="Arial"/>
        <w:b/>
        <w:i/>
        <w:color w:val="FF0000"/>
        <w:sz w:val="20"/>
        <w:szCs w:val="20"/>
      </w:rPr>
      <w:t>Filing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66FE" w:rsidRDefault="00D566FE" w14:paraId="6BF40F0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AD4DB36"/>
    <w:name w:val="List Number 2"/>
    <w:lvl w:ilvl="0">
      <w:start w:val="1"/>
      <w:numFmt w:val="decimal"/>
      <w:pStyle w:val="ListNumber2"/>
      <w:lvlText w:val="%1."/>
      <w:lvlJc w:val="left"/>
      <w:pPr>
        <w:tabs>
          <w:tab w:val="num" w:pos="720"/>
        </w:tabs>
        <w:ind w:left="720" w:hanging="360"/>
      </w:pPr>
    </w:lvl>
  </w:abstractNum>
  <w:abstractNum w:abstractNumId="1" w15:restartNumberingAfterBreak="0">
    <w:nsid w:val="00000001"/>
    <w:multiLevelType w:val="hybridMultilevel"/>
    <w:tmpl w:val="59F817CA"/>
    <w:name w:val="zGTableBullet"/>
    <w:lvl w:ilvl="0" w:tplc="B5BC7B9A">
      <w:start w:val="1"/>
      <w:numFmt w:val="bullet"/>
      <w:pStyle w:val="zGTableBullet"/>
      <w:lvlText w:val=""/>
      <w:lvlJc w:val="left"/>
      <w:pPr>
        <w:ind w:left="427" w:hanging="360"/>
      </w:pPr>
      <w:rPr>
        <w:rFonts w:ascii="Wingdings" w:hAnsi="Wingdings"/>
      </w:rPr>
    </w:lvl>
    <w:lvl w:ilvl="1" w:tplc="5224C4CC">
      <w:start w:val="1"/>
      <w:numFmt w:val="bullet"/>
      <w:lvlText w:val="o"/>
      <w:lvlJc w:val="left"/>
      <w:pPr>
        <w:ind w:left="1147" w:hanging="360"/>
      </w:pPr>
      <w:rPr>
        <w:rFonts w:ascii="Courier New" w:hAnsi="Courier New" w:cs="Courier New"/>
      </w:rPr>
    </w:lvl>
    <w:lvl w:ilvl="2" w:tplc="6C50963C">
      <w:start w:val="1"/>
      <w:numFmt w:val="bullet"/>
      <w:lvlText w:val=""/>
      <w:lvlJc w:val="left"/>
      <w:pPr>
        <w:ind w:left="1867" w:hanging="360"/>
      </w:pPr>
      <w:rPr>
        <w:rFonts w:ascii="Wingdings" w:hAnsi="Wingdings"/>
      </w:rPr>
    </w:lvl>
    <w:lvl w:ilvl="3" w:tplc="1F602E40">
      <w:start w:val="1"/>
      <w:numFmt w:val="bullet"/>
      <w:lvlText w:val=""/>
      <w:lvlJc w:val="left"/>
      <w:pPr>
        <w:ind w:left="2587" w:hanging="360"/>
      </w:pPr>
      <w:rPr>
        <w:rFonts w:ascii="Symbol" w:hAnsi="Symbol"/>
      </w:rPr>
    </w:lvl>
    <w:lvl w:ilvl="4" w:tplc="DAC68C0C">
      <w:start w:val="1"/>
      <w:numFmt w:val="bullet"/>
      <w:lvlText w:val="o"/>
      <w:lvlJc w:val="left"/>
      <w:pPr>
        <w:ind w:left="3307" w:hanging="360"/>
      </w:pPr>
      <w:rPr>
        <w:rFonts w:ascii="Courier New" w:hAnsi="Courier New" w:cs="Courier New"/>
      </w:rPr>
    </w:lvl>
    <w:lvl w:ilvl="5" w:tplc="537C0E38">
      <w:start w:val="1"/>
      <w:numFmt w:val="bullet"/>
      <w:lvlText w:val=""/>
      <w:lvlJc w:val="left"/>
      <w:pPr>
        <w:ind w:left="4027" w:hanging="360"/>
      </w:pPr>
      <w:rPr>
        <w:rFonts w:ascii="Wingdings" w:hAnsi="Wingdings"/>
      </w:rPr>
    </w:lvl>
    <w:lvl w:ilvl="6" w:tplc="C7440FA6">
      <w:start w:val="1"/>
      <w:numFmt w:val="bullet"/>
      <w:lvlText w:val=""/>
      <w:lvlJc w:val="left"/>
      <w:pPr>
        <w:ind w:left="4747" w:hanging="360"/>
      </w:pPr>
      <w:rPr>
        <w:rFonts w:ascii="Symbol" w:hAnsi="Symbol"/>
      </w:rPr>
    </w:lvl>
    <w:lvl w:ilvl="7" w:tplc="B8ECCCBC">
      <w:start w:val="1"/>
      <w:numFmt w:val="bullet"/>
      <w:lvlText w:val="o"/>
      <w:lvlJc w:val="left"/>
      <w:pPr>
        <w:ind w:left="5467" w:hanging="360"/>
      </w:pPr>
      <w:rPr>
        <w:rFonts w:ascii="Courier New" w:hAnsi="Courier New" w:cs="Courier New"/>
      </w:rPr>
    </w:lvl>
    <w:lvl w:ilvl="8" w:tplc="EC0E9186">
      <w:start w:val="1"/>
      <w:numFmt w:val="bullet"/>
      <w:lvlText w:val=""/>
      <w:lvlJc w:val="left"/>
      <w:pPr>
        <w:ind w:left="6187" w:hanging="360"/>
      </w:pPr>
      <w:rPr>
        <w:rFonts w:ascii="Wingdings" w:hAnsi="Wingdings"/>
      </w:rPr>
    </w:lvl>
  </w:abstractNum>
  <w:abstractNum w:abstractNumId="2" w15:restartNumberingAfterBreak="0">
    <w:nsid w:val="00000002"/>
    <w:multiLevelType w:val="multilevel"/>
    <w:tmpl w:val="8D64AA7A"/>
    <w:lvl w:ilvl="0">
      <w:start w:val="1"/>
      <w:numFmt w:val="bullet"/>
      <w:pStyle w:val="zGListBullet"/>
      <w:lvlText w:val=""/>
      <w:lvlJc w:val="left"/>
      <w:pPr>
        <w:ind w:left="1440" w:hanging="360"/>
      </w:pPr>
      <w:rPr>
        <w:rFonts w:ascii="Wingdings" w:hAnsi="Wingdings"/>
        <w:b/>
        <w:i w:val="0"/>
        <w:color w:val="000000"/>
        <w:sz w:val="20"/>
      </w:rPr>
    </w:lvl>
    <w:lvl w:ilvl="1">
      <w:start w:val="1"/>
      <w:numFmt w:val="bullet"/>
      <w:lvlText w:val="o"/>
      <w:lvlJc w:val="left"/>
      <w:pPr>
        <w:ind w:left="2160" w:hanging="360"/>
      </w:pPr>
      <w:rPr>
        <w:rFonts w:ascii="Courier New" w:hAnsi="Courier New"/>
        <w:b/>
        <w:bCs/>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3" w15:restartNumberingAfterBreak="0">
    <w:nsid w:val="00000005"/>
    <w:multiLevelType w:val="multilevel"/>
    <w:tmpl w:val="C422DFE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0000006"/>
    <w:multiLevelType w:val="hybridMultilevel"/>
    <w:tmpl w:val="B86C81BE"/>
    <w:lvl w:ilvl="0" w:tplc="E90AECB0">
      <w:start w:val="1"/>
      <w:numFmt w:val="bullet"/>
      <w:pStyle w:val="zGListBullet2"/>
      <w:lvlText w:val="o"/>
      <w:lvlJc w:val="left"/>
      <w:pPr>
        <w:ind w:left="1440" w:hanging="360"/>
      </w:pPr>
      <w:rPr>
        <w:rFonts w:ascii="Courier New" w:hAnsi="Courier New"/>
      </w:rPr>
    </w:lvl>
    <w:lvl w:ilvl="1" w:tplc="E57A3F6E">
      <w:start w:val="1"/>
      <w:numFmt w:val="bullet"/>
      <w:lvlText w:val="o"/>
      <w:lvlJc w:val="left"/>
      <w:pPr>
        <w:ind w:left="1800" w:hanging="360"/>
      </w:pPr>
      <w:rPr>
        <w:rFonts w:ascii="Courier New" w:hAnsi="Courier New"/>
      </w:rPr>
    </w:lvl>
    <w:lvl w:ilvl="2" w:tplc="D9542C26">
      <w:start w:val="1"/>
      <w:numFmt w:val="bullet"/>
      <w:lvlText w:val=""/>
      <w:lvlJc w:val="left"/>
      <w:pPr>
        <w:ind w:left="2520" w:hanging="360"/>
      </w:pPr>
      <w:rPr>
        <w:rFonts w:ascii="Wingdings" w:hAnsi="Wingdings"/>
      </w:rPr>
    </w:lvl>
    <w:lvl w:ilvl="3" w:tplc="F708BA4E">
      <w:start w:val="1"/>
      <w:numFmt w:val="bullet"/>
      <w:lvlText w:val=""/>
      <w:lvlJc w:val="left"/>
      <w:pPr>
        <w:ind w:left="3240" w:hanging="360"/>
      </w:pPr>
      <w:rPr>
        <w:rFonts w:ascii="Symbol" w:hAnsi="Symbol"/>
      </w:rPr>
    </w:lvl>
    <w:lvl w:ilvl="4" w:tplc="C4CAEE9C">
      <w:start w:val="1"/>
      <w:numFmt w:val="bullet"/>
      <w:lvlText w:val="o"/>
      <w:lvlJc w:val="left"/>
      <w:pPr>
        <w:ind w:left="3960" w:hanging="360"/>
      </w:pPr>
      <w:rPr>
        <w:rFonts w:ascii="Courier New" w:hAnsi="Courier New"/>
      </w:rPr>
    </w:lvl>
    <w:lvl w:ilvl="5" w:tplc="82F4504E">
      <w:start w:val="1"/>
      <w:numFmt w:val="bullet"/>
      <w:lvlText w:val=""/>
      <w:lvlJc w:val="left"/>
      <w:pPr>
        <w:ind w:left="4680" w:hanging="360"/>
      </w:pPr>
      <w:rPr>
        <w:rFonts w:ascii="Wingdings" w:hAnsi="Wingdings"/>
      </w:rPr>
    </w:lvl>
    <w:lvl w:ilvl="6" w:tplc="3EB65E54">
      <w:start w:val="1"/>
      <w:numFmt w:val="bullet"/>
      <w:lvlText w:val=""/>
      <w:lvlJc w:val="left"/>
      <w:pPr>
        <w:ind w:left="5400" w:hanging="360"/>
      </w:pPr>
      <w:rPr>
        <w:rFonts w:ascii="Symbol" w:hAnsi="Symbol"/>
      </w:rPr>
    </w:lvl>
    <w:lvl w:ilvl="7" w:tplc="2ADC8BDC">
      <w:start w:val="1"/>
      <w:numFmt w:val="bullet"/>
      <w:lvlText w:val="o"/>
      <w:lvlJc w:val="left"/>
      <w:pPr>
        <w:ind w:left="6120" w:hanging="360"/>
      </w:pPr>
      <w:rPr>
        <w:rFonts w:ascii="Courier New" w:hAnsi="Courier New"/>
      </w:rPr>
    </w:lvl>
    <w:lvl w:ilvl="8" w:tplc="E086F630">
      <w:start w:val="1"/>
      <w:numFmt w:val="bullet"/>
      <w:lvlText w:val=""/>
      <w:lvlJc w:val="left"/>
      <w:pPr>
        <w:ind w:left="6840" w:hanging="360"/>
      </w:pPr>
      <w:rPr>
        <w:rFonts w:ascii="Wingdings" w:hAnsi="Wingdings"/>
      </w:rPr>
    </w:lvl>
  </w:abstractNum>
  <w:abstractNum w:abstractNumId="5" w15:restartNumberingAfterBreak="0">
    <w:nsid w:val="00000008"/>
    <w:multiLevelType w:val="multilevel"/>
    <w:tmpl w:val="15163078"/>
    <w:name w:val="zG01"/>
    <w:lvl w:ilvl="0">
      <w:start w:val="1"/>
      <w:numFmt w:val="decimal"/>
      <w:pStyle w:val="zG01"/>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pStyle w:val="zG02"/>
      <w:lvlText w:val="%1.%2"/>
      <w:lvlJc w:val="left"/>
      <w:pPr>
        <w:tabs>
          <w:tab w:val="num" w:pos="576"/>
        </w:tabs>
      </w:pPr>
      <w:rPr>
        <w:rFonts w:ascii="Arial" w:hAnsi="Arial"/>
        <w:b/>
        <w:i w:val="0"/>
        <w:caps/>
        <w:strike w:val="0"/>
        <w:dstrike w:val="0"/>
        <w:vanish w:val="0"/>
        <w:color w:val="000000"/>
        <w:sz w:val="20"/>
        <w:u w:val="none"/>
      </w:rPr>
    </w:lvl>
    <w:lvl w:ilvl="2">
      <w:start w:val="1"/>
      <w:numFmt w:val="upperLetter"/>
      <w:pStyle w:val="zG03"/>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pStyle w:val="zG04"/>
      <w:lvlText w:val="(%4)"/>
      <w:lvlJc w:val="left"/>
      <w:pPr>
        <w:tabs>
          <w:tab w:val="num" w:pos="936"/>
        </w:tabs>
        <w:ind w:left="504"/>
      </w:pPr>
      <w:rPr>
        <w:b/>
        <w:i w:val="0"/>
        <w:caps w:val="0"/>
        <w:strike w:val="0"/>
        <w:dstrike w:val="0"/>
        <w:vanish w:val="0"/>
        <w:color w:val="000000"/>
        <w:sz w:val="20"/>
        <w:u w:val="none"/>
      </w:rPr>
    </w:lvl>
    <w:lvl w:ilvl="4">
      <w:start w:val="1"/>
      <w:numFmt w:val="lowerLetter"/>
      <w:pStyle w:val="zG05"/>
      <w:lvlText w:val="(%5)"/>
      <w:lvlJc w:val="left"/>
      <w:pPr>
        <w:tabs>
          <w:tab w:val="num" w:pos="1368"/>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0000010"/>
    <w:multiLevelType w:val="hybridMultilevel"/>
    <w:tmpl w:val="8D3495B2"/>
    <w:name w:val="zGListNum"/>
    <w:lvl w:ilvl="0" w:tplc="538E068A">
      <w:start w:val="1"/>
      <w:numFmt w:val="decimal"/>
      <w:pStyle w:val="zGListNum"/>
      <w:lvlText w:val="%1."/>
      <w:lvlJc w:val="left"/>
      <w:pPr>
        <w:tabs>
          <w:tab w:val="num" w:pos="360"/>
        </w:tabs>
        <w:ind w:left="360" w:hanging="360"/>
      </w:pPr>
      <w:rPr>
        <w:rFonts w:ascii="Arial" w:hAnsi="Arial" w:cs="Times New Roman"/>
        <w:b/>
        <w:i w:val="0"/>
        <w:caps w:val="0"/>
        <w:strike w:val="0"/>
        <w:dstrike w:val="0"/>
        <w:vanish w:val="0"/>
        <w:color w:val="000000"/>
        <w:sz w:val="20"/>
        <w:u w:val="none"/>
      </w:rPr>
    </w:lvl>
    <w:lvl w:ilvl="1" w:tplc="33D0FD12">
      <w:start w:val="1"/>
      <w:numFmt w:val="lowerLetter"/>
      <w:lvlText w:val="%2."/>
      <w:lvlJc w:val="left"/>
      <w:pPr>
        <w:tabs>
          <w:tab w:val="num" w:pos="1440"/>
        </w:tabs>
        <w:ind w:left="1440" w:hanging="360"/>
      </w:pPr>
      <w:rPr>
        <w:rFonts w:cs="Times New Roman"/>
      </w:rPr>
    </w:lvl>
    <w:lvl w:ilvl="2" w:tplc="674C6764">
      <w:start w:val="1"/>
      <w:numFmt w:val="lowerRoman"/>
      <w:lvlText w:val="%3."/>
      <w:lvlJc w:val="right"/>
      <w:pPr>
        <w:tabs>
          <w:tab w:val="num" w:pos="2160"/>
        </w:tabs>
        <w:ind w:left="2160" w:hanging="180"/>
      </w:pPr>
      <w:rPr>
        <w:rFonts w:cs="Times New Roman"/>
      </w:rPr>
    </w:lvl>
    <w:lvl w:ilvl="3" w:tplc="D53279E0">
      <w:start w:val="1"/>
      <w:numFmt w:val="decimal"/>
      <w:lvlText w:val="%4."/>
      <w:lvlJc w:val="left"/>
      <w:pPr>
        <w:tabs>
          <w:tab w:val="num" w:pos="2880"/>
        </w:tabs>
        <w:ind w:left="2880" w:hanging="360"/>
      </w:pPr>
      <w:rPr>
        <w:rFonts w:cs="Times New Roman"/>
      </w:rPr>
    </w:lvl>
    <w:lvl w:ilvl="4" w:tplc="FB604134">
      <w:start w:val="1"/>
      <w:numFmt w:val="lowerLetter"/>
      <w:lvlText w:val="%5."/>
      <w:lvlJc w:val="left"/>
      <w:pPr>
        <w:tabs>
          <w:tab w:val="num" w:pos="3600"/>
        </w:tabs>
        <w:ind w:left="3600" w:hanging="360"/>
      </w:pPr>
      <w:rPr>
        <w:rFonts w:cs="Times New Roman"/>
      </w:rPr>
    </w:lvl>
    <w:lvl w:ilvl="5" w:tplc="B2E4744E">
      <w:start w:val="1"/>
      <w:numFmt w:val="lowerRoman"/>
      <w:lvlText w:val="%6."/>
      <w:lvlJc w:val="right"/>
      <w:pPr>
        <w:tabs>
          <w:tab w:val="num" w:pos="4320"/>
        </w:tabs>
        <w:ind w:left="4320" w:hanging="180"/>
      </w:pPr>
      <w:rPr>
        <w:rFonts w:cs="Times New Roman"/>
      </w:rPr>
    </w:lvl>
    <w:lvl w:ilvl="6" w:tplc="66DED060">
      <w:start w:val="1"/>
      <w:numFmt w:val="decimal"/>
      <w:lvlText w:val="%7."/>
      <w:lvlJc w:val="left"/>
      <w:pPr>
        <w:tabs>
          <w:tab w:val="num" w:pos="5040"/>
        </w:tabs>
        <w:ind w:left="5040" w:hanging="360"/>
      </w:pPr>
      <w:rPr>
        <w:rFonts w:cs="Times New Roman"/>
      </w:rPr>
    </w:lvl>
    <w:lvl w:ilvl="7" w:tplc="9C1ED1F8">
      <w:start w:val="1"/>
      <w:numFmt w:val="lowerLetter"/>
      <w:lvlText w:val="%8."/>
      <w:lvlJc w:val="left"/>
      <w:pPr>
        <w:tabs>
          <w:tab w:val="num" w:pos="5760"/>
        </w:tabs>
        <w:ind w:left="5760" w:hanging="360"/>
      </w:pPr>
      <w:rPr>
        <w:rFonts w:cs="Times New Roman"/>
      </w:rPr>
    </w:lvl>
    <w:lvl w:ilvl="8" w:tplc="8E98FCC0">
      <w:start w:val="1"/>
      <w:numFmt w:val="lowerRoman"/>
      <w:lvlText w:val="%9."/>
      <w:lvlJc w:val="right"/>
      <w:pPr>
        <w:tabs>
          <w:tab w:val="num" w:pos="6480"/>
        </w:tabs>
        <w:ind w:left="6480" w:hanging="180"/>
      </w:pPr>
      <w:rPr>
        <w:rFonts w:cs="Times New Roman"/>
      </w:rPr>
    </w:lvl>
  </w:abstractNum>
  <w:abstractNum w:abstractNumId="7" w15:restartNumberingAfterBreak="0">
    <w:nsid w:val="00000011"/>
    <w:multiLevelType w:val="hybridMultilevel"/>
    <w:tmpl w:val="52142AA8"/>
    <w:name w:val="zzmpArticle5||Article5|2|1|1|3|10|41||1|10|1||1|10|1||1|10|1||1|12|0||1|12|0||1|12|0||1|12|0||mpNA||2"/>
    <w:lvl w:ilvl="0" w:tplc="DFE01B22">
      <w:start w:val="1"/>
      <w:numFmt w:val="decimal"/>
      <w:lvlText w:val="%1.1"/>
      <w:lvlJc w:val="left"/>
      <w:pPr>
        <w:ind w:left="720" w:hanging="360"/>
      </w:pPr>
      <w:rPr>
        <w:rFonts w:ascii="Arial" w:hAnsi="Arial" w:cs="Arial" w:hint="default"/>
        <w:b/>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8" w15:restartNumberingAfterBreak="0">
    <w:nsid w:val="00000016"/>
    <w:multiLevelType w:val="hybridMultilevel"/>
    <w:tmpl w:val="326812A8"/>
    <w:name w:val="zGList(i)"/>
    <w:lvl w:ilvl="0" w:tplc="5DD063B2">
      <w:start w:val="1"/>
      <w:numFmt w:val="lowerRoman"/>
      <w:pStyle w:val="zGListi"/>
      <w:lvlText w:val="%1."/>
      <w:lvlJc w:val="left"/>
      <w:pPr>
        <w:ind w:left="720" w:hanging="360"/>
      </w:pPr>
      <w:rPr>
        <w:rFonts w:ascii="Arial" w:hAnsi="Arial"/>
        <w:b/>
        <w:i w:val="0"/>
        <w:caps w:val="0"/>
        <w:strike w:val="0"/>
        <w:dstrike w:val="0"/>
        <w:vanish w:val="0"/>
        <w:color w:val="auto"/>
        <w:sz w:val="20"/>
        <w:u w:val="none"/>
      </w:rPr>
    </w:lvl>
    <w:lvl w:ilvl="1" w:tplc="3AD8E308">
      <w:start w:val="1"/>
      <w:numFmt w:val="lowerLetter"/>
      <w:lvlText w:val="%2."/>
      <w:lvlJc w:val="left"/>
      <w:pPr>
        <w:ind w:left="1440" w:hanging="360"/>
      </w:pPr>
    </w:lvl>
    <w:lvl w:ilvl="2" w:tplc="42949AAC">
      <w:start w:val="1"/>
      <w:numFmt w:val="lowerRoman"/>
      <w:lvlText w:val="%3."/>
      <w:lvlJc w:val="right"/>
      <w:pPr>
        <w:ind w:left="2160" w:hanging="180"/>
      </w:pPr>
    </w:lvl>
    <w:lvl w:ilvl="3" w:tplc="5718D0A2">
      <w:start w:val="1"/>
      <w:numFmt w:val="decimal"/>
      <w:lvlText w:val="%4."/>
      <w:lvlJc w:val="left"/>
      <w:pPr>
        <w:ind w:left="2880" w:hanging="360"/>
      </w:pPr>
    </w:lvl>
    <w:lvl w:ilvl="4" w:tplc="95F082AE">
      <w:start w:val="1"/>
      <w:numFmt w:val="lowerLetter"/>
      <w:lvlText w:val="%5."/>
      <w:lvlJc w:val="left"/>
      <w:pPr>
        <w:ind w:left="3600" w:hanging="360"/>
      </w:pPr>
    </w:lvl>
    <w:lvl w:ilvl="5" w:tplc="B994DB6A">
      <w:start w:val="1"/>
      <w:numFmt w:val="lowerRoman"/>
      <w:lvlText w:val="%6."/>
      <w:lvlJc w:val="right"/>
      <w:pPr>
        <w:ind w:left="4320" w:hanging="180"/>
      </w:pPr>
    </w:lvl>
    <w:lvl w:ilvl="6" w:tplc="F294CC4E">
      <w:start w:val="1"/>
      <w:numFmt w:val="decimal"/>
      <w:lvlText w:val="%7."/>
      <w:lvlJc w:val="left"/>
      <w:pPr>
        <w:ind w:left="5040" w:hanging="360"/>
      </w:pPr>
    </w:lvl>
    <w:lvl w:ilvl="7" w:tplc="74EE5388">
      <w:start w:val="1"/>
      <w:numFmt w:val="lowerLetter"/>
      <w:lvlText w:val="%8."/>
      <w:lvlJc w:val="left"/>
      <w:pPr>
        <w:ind w:left="5760" w:hanging="360"/>
      </w:pPr>
    </w:lvl>
    <w:lvl w:ilvl="8" w:tplc="DB46A0E4">
      <w:start w:val="1"/>
      <w:numFmt w:val="lowerRoman"/>
      <w:lvlText w:val="%9."/>
      <w:lvlJc w:val="right"/>
      <w:pPr>
        <w:ind w:left="6480" w:hanging="180"/>
      </w:pPr>
    </w:lvl>
  </w:abstractNum>
  <w:abstractNum w:abstractNumId="9" w15:restartNumberingAfterBreak="0">
    <w:nsid w:val="01F1A17E"/>
    <w:multiLevelType w:val="multilevel"/>
    <w:tmpl w:val="E6B8A9A4"/>
    <w:lvl w:ilvl="0">
      <w:start w:val="1"/>
      <w:numFmt w:val="decimal"/>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2"/>
      <w:numFmt w:val="decimal"/>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9012C3A"/>
    <w:multiLevelType w:val="multilevel"/>
    <w:tmpl w:val="F2822486"/>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2."/>
      <w:lvlJc w:val="left"/>
      <w:pPr>
        <w:ind w:left="360" w:hanging="360"/>
      </w:pPr>
      <w:rPr>
        <w:b/>
        <w:bCs/>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41549"/>
    <w:multiLevelType w:val="multilevel"/>
    <w:tmpl w:val="31D40690"/>
    <w:lvl w:ilvl="0">
      <w:start w:val="1"/>
      <w:numFmt w:val="decimal"/>
      <w:pStyle w:val="zGTC01"/>
      <w:lvlText w:val="Part %1."/>
      <w:lvlJc w:val="left"/>
      <w:pPr>
        <w:tabs>
          <w:tab w:val="num" w:pos="936"/>
        </w:tabs>
        <w:ind w:left="936" w:hanging="936"/>
      </w:pPr>
      <w:rPr>
        <w:rFonts w:ascii="Arial Bold" w:hAnsi="Arial Bold" w:cs="Times New Roman" w:hint="default"/>
        <w:b/>
        <w:bCs w:val="0"/>
        <w:i w:val="0"/>
        <w:iCs w:val="0"/>
        <w:caps/>
        <w:smallCaps w:val="0"/>
        <w:strike w:val="0"/>
        <w:dstrike w:val="0"/>
        <w:outline w:val="0"/>
        <w:shadow w:val="0"/>
        <w:emboss w:val="0"/>
        <w:imprint w:val="0"/>
        <w:noProof w:val="0"/>
        <w:vanish w:val="0"/>
        <w:position w:val="0"/>
        <w:sz w:val="2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zGTC02"/>
      <w:lvlText w:val="%1.%2"/>
      <w:lvlJc w:val="left"/>
      <w:pPr>
        <w:tabs>
          <w:tab w:val="num" w:pos="720"/>
        </w:tabs>
        <w:ind w:left="0" w:firstLine="0"/>
      </w:pPr>
      <w:rPr>
        <w:rFonts w:ascii="Arial" w:hAnsi="Arial" w:hint="default"/>
        <w:b/>
        <w:i w:val="0"/>
        <w:caps/>
        <w:strike w:val="0"/>
        <w:dstrike w:val="0"/>
        <w:vanish w:val="0"/>
        <w:color w:val="000000" w:themeColor="text1"/>
        <w:sz w:val="20"/>
        <w:u w:val="none"/>
        <w:vertAlign w:val="baseline"/>
      </w:rPr>
    </w:lvl>
    <w:lvl w:ilvl="2">
      <w:start w:val="1"/>
      <w:numFmt w:val="decimal"/>
      <w:pStyle w:val="zGTC03"/>
      <w:lvlText w:val="%1.%2.%3."/>
      <w:lvlJc w:val="left"/>
      <w:pPr>
        <w:tabs>
          <w:tab w:val="num" w:pos="1368"/>
        </w:tabs>
        <w:ind w:left="720" w:firstLine="0"/>
      </w:pPr>
      <w:rPr>
        <w:rFonts w:ascii="Arial" w:hAnsi="Arial" w:hint="default"/>
        <w:b/>
        <w:i w:val="0"/>
        <w:caps w:val="0"/>
        <w:strike w:val="0"/>
        <w:dstrike w:val="0"/>
        <w:vanish w:val="0"/>
        <w:color w:val="000000" w:themeColor="text1"/>
        <w:sz w:val="20"/>
        <w:u w:val="none"/>
        <w:vertAlign w:val="baseline"/>
      </w:rPr>
    </w:lvl>
    <w:lvl w:ilvl="3">
      <w:start w:val="1"/>
      <w:numFmt w:val="lowerRoman"/>
      <w:pStyle w:val="zGTC04"/>
      <w:lvlText w:val="(%4)"/>
      <w:lvlJc w:val="left"/>
      <w:pPr>
        <w:tabs>
          <w:tab w:val="num" w:pos="1944"/>
        </w:tabs>
        <w:ind w:left="1440" w:firstLine="0"/>
      </w:pPr>
      <w:rPr>
        <w:rFonts w:hint="default"/>
        <w:b/>
        <w:i w:val="0"/>
        <w:caps w:val="0"/>
        <w:strike w:val="0"/>
        <w:dstrike w:val="0"/>
        <w:vanish w:val="0"/>
        <w:color w:val="000000" w:themeColor="text1"/>
        <w:sz w:val="20"/>
        <w:u w:val="none"/>
        <w:vertAlign w:val="baseline"/>
      </w:rPr>
    </w:lvl>
    <w:lvl w:ilvl="4">
      <w:start w:val="1"/>
      <w:numFmt w:val="lowerLetter"/>
      <w:pStyle w:val="zGTC05"/>
      <w:lvlText w:val="(%5)"/>
      <w:lvlJc w:val="left"/>
      <w:pPr>
        <w:tabs>
          <w:tab w:val="num" w:pos="2448"/>
        </w:tabs>
        <w:ind w:left="194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63074B8"/>
    <w:multiLevelType w:val="multilevel"/>
    <w:tmpl w:val="A22E42A8"/>
    <w:name w:val="zGZ1"/>
    <w:lvl w:ilvl="0">
      <w:start w:val="1"/>
      <w:numFmt w:val="decimal"/>
      <w:pStyle w:val="zGZ1"/>
      <w:lvlText w:val="%1."/>
      <w:lvlJc w:val="left"/>
      <w:pPr>
        <w:ind w:left="360" w:hanging="360"/>
      </w:pPr>
      <w:rPr>
        <w:rFonts w:ascii="Arial Bold" w:hAnsi="Arial Bold" w:hint="default"/>
        <w:b/>
        <w:i w:val="0"/>
        <w:caps w:val="0"/>
        <w:strike w:val="0"/>
        <w:dstrike w:val="0"/>
        <w:vanish w:val="0"/>
        <w:color w:val="000000" w:themeColor="text1"/>
        <w:sz w:val="20"/>
        <w:u w:val="none"/>
        <w:vertAlign w:val="baseline"/>
      </w:rPr>
    </w:lvl>
    <w:lvl w:ilvl="1">
      <w:start w:val="1"/>
      <w:numFmt w:val="upperLetter"/>
      <w:pStyle w:val="zGZ2"/>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pStyle w:val="zGZ3"/>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7303EA2"/>
    <w:multiLevelType w:val="multilevel"/>
    <w:tmpl w:val="DB5867C6"/>
    <w:name w:val="zzmpArticle||Article|2|1|1|4|10|41||1|10|1||1|10|1||1|10|1||1|10|0||1|10|0||1|12|0||1|12|0||1|12|0||"/>
    <w:lvl w:ilvl="0">
      <w:start w:val="1"/>
      <w:numFmt w:val="upperRoman"/>
      <w:suff w:val="nothing"/>
      <w:lvlText w:val="ARTICLE %1"/>
      <w:lvlJc w:val="left"/>
      <w:pPr>
        <w:ind w:left="0" w:firstLine="0"/>
      </w:pPr>
      <w:rPr>
        <w:rFonts w:hint="default"/>
        <w:b/>
        <w:i w:val="0"/>
        <w:caps/>
        <w:smallCaps w:val="0"/>
        <w:u w:val="none"/>
      </w:rPr>
    </w:lvl>
    <w:lvl w:ilvl="1">
      <w:start w:val="1"/>
      <w:numFmt w:val="decimal"/>
      <w:isLgl/>
      <w:lvlText w:val="%1.%2"/>
      <w:lvlJc w:val="left"/>
      <w:pPr>
        <w:tabs>
          <w:tab w:val="num" w:pos="1530"/>
        </w:tabs>
        <w:ind w:left="90" w:firstLine="720"/>
      </w:pPr>
      <w:rPr>
        <w:rFonts w:hint="default"/>
        <w:b w:val="0"/>
        <w:bCs/>
        <w:i w:val="0"/>
        <w:caps w:val="0"/>
        <w:color w:val="auto"/>
        <w:u w:val="none"/>
      </w:rPr>
    </w:lvl>
    <w:lvl w:ilvl="2">
      <w:start w:val="1"/>
      <w:numFmt w:val="decimal"/>
      <w:isLgl/>
      <w:lvlText w:val="%1.%2.%3"/>
      <w:lvlJc w:val="left"/>
      <w:pPr>
        <w:tabs>
          <w:tab w:val="num" w:pos="2160"/>
        </w:tabs>
        <w:ind w:left="0" w:firstLine="1440"/>
      </w:pPr>
      <w:rPr>
        <w:rFonts w:hint="default"/>
        <w:b w:val="0"/>
        <w:i w:val="0"/>
        <w:caps w:val="0"/>
        <w:u w:val="none"/>
      </w:rPr>
    </w:lvl>
    <w:lvl w:ilvl="3">
      <w:start w:val="1"/>
      <w:numFmt w:val="lowerLetter"/>
      <w:lvlText w:val="(%4)"/>
      <w:lvlJc w:val="left"/>
      <w:pPr>
        <w:tabs>
          <w:tab w:val="num" w:pos="2880"/>
        </w:tabs>
        <w:ind w:left="0" w:firstLine="2160"/>
      </w:pPr>
      <w:rPr>
        <w:rFonts w:hint="default"/>
        <w:b w:val="0"/>
        <w:i w:val="0"/>
        <w:caps w:val="0"/>
        <w:u w:val="none"/>
      </w:rPr>
    </w:lvl>
    <w:lvl w:ilvl="4">
      <w:start w:val="1"/>
      <w:numFmt w:val="lowerRoman"/>
      <w:lvlText w:val="(%5)"/>
      <w:lvlJc w:val="left"/>
      <w:pPr>
        <w:tabs>
          <w:tab w:val="num" w:pos="3600"/>
        </w:tabs>
        <w:ind w:left="0" w:firstLine="2880"/>
      </w:pPr>
      <w:rPr>
        <w:rFonts w:hint="default"/>
        <w:b w:val="0"/>
        <w:i w:val="0"/>
        <w:caps w:val="0"/>
        <w:smallCaps w:val="0"/>
        <w:strike w:val="0"/>
        <w:dstrike w:val="0"/>
        <w:vanish w:val="0"/>
        <w:color w:val="auto"/>
        <w:u w:val="none"/>
        <w:effect w:val="none"/>
        <w:vertAlign w:val="baseline"/>
      </w:rPr>
    </w:lvl>
    <w:lvl w:ilvl="5">
      <w:start w:val="1"/>
      <w:numFmt w:val="lowerLetter"/>
      <w:lvlText w:val="(%6)"/>
      <w:lvlJc w:val="left"/>
      <w:pPr>
        <w:tabs>
          <w:tab w:val="num" w:pos="3600"/>
        </w:tabs>
        <w:ind w:left="0" w:firstLine="2880"/>
      </w:pPr>
      <w:rPr>
        <w:rFonts w:hint="default"/>
        <w:b w:val="0"/>
        <w:i w:val="0"/>
        <w:caps w:val="0"/>
        <w:u w:val="none"/>
      </w:rPr>
    </w:lvl>
    <w:lvl w:ilvl="6">
      <w:start w:val="1"/>
      <w:numFmt w:val="lowerLetter"/>
      <w:lvlText w:val="%7."/>
      <w:lvlJc w:val="left"/>
      <w:pPr>
        <w:tabs>
          <w:tab w:val="num" w:pos="5040"/>
        </w:tabs>
        <w:ind w:left="0" w:firstLine="4320"/>
      </w:pPr>
      <w:rPr>
        <w:rFonts w:hint="default"/>
        <w:b w:val="0"/>
        <w:i w:val="0"/>
        <w:caps w:val="0"/>
        <w:u w:val="none"/>
      </w:rPr>
    </w:lvl>
    <w:lvl w:ilvl="7">
      <w:start w:val="1"/>
      <w:numFmt w:val="lowerRoman"/>
      <w:lvlText w:val="%8."/>
      <w:lvlJc w:val="left"/>
      <w:pPr>
        <w:tabs>
          <w:tab w:val="num" w:pos="5760"/>
        </w:tabs>
        <w:ind w:left="0" w:firstLine="5040"/>
      </w:pPr>
      <w:rPr>
        <w:rFonts w:hint="default"/>
        <w:b w:val="0"/>
        <w:i w:val="0"/>
        <w:caps w:val="0"/>
        <w:u w:val="none"/>
      </w:rPr>
    </w:lvl>
    <w:lvl w:ilvl="8">
      <w:start w:val="1"/>
      <w:numFmt w:val="decimal"/>
      <w:lvlText w:val="%9."/>
      <w:lvlJc w:val="left"/>
      <w:pPr>
        <w:tabs>
          <w:tab w:val="num" w:pos="6480"/>
        </w:tabs>
        <w:ind w:left="0" w:firstLine="5760"/>
      </w:pPr>
      <w:rPr>
        <w:rFonts w:hint="default"/>
        <w:b w:val="0"/>
        <w:i w:val="0"/>
        <w:caps w:val="0"/>
        <w:u w:val="none"/>
      </w:rPr>
    </w:lvl>
  </w:abstractNum>
  <w:abstractNum w:abstractNumId="14" w15:restartNumberingAfterBreak="0">
    <w:nsid w:val="173C1E81"/>
    <w:multiLevelType w:val="multilevel"/>
    <w:tmpl w:val="FDE60D78"/>
    <w:lvl w:ilvl="0">
      <w:start w:val="1"/>
      <w:numFmt w:val="decimal"/>
      <w:lvlText w:val="Part %1"/>
      <w:lvlJc w:val="left"/>
      <w:pPr>
        <w:tabs>
          <w:tab w:val="num" w:pos="936"/>
        </w:tabs>
        <w:ind w:left="936" w:hanging="936"/>
      </w:pPr>
      <w:rPr>
        <w:rFonts w:ascii="Arial" w:hAnsi="Arial"/>
        <w:b/>
        <w:i w:val="0"/>
        <w:caps/>
        <w:strike w:val="0"/>
        <w:dstrike w:val="0"/>
        <w:vanish w:val="0"/>
        <w:color w:val="000000"/>
        <w:sz w:val="20"/>
        <w:u w:val="none"/>
      </w:rPr>
    </w:lvl>
    <w:lvl w:ilvl="1">
      <w:start w:val="1"/>
      <w:numFmt w:val="decimal"/>
      <w:lvlText w:val="%1.%2"/>
      <w:lvlJc w:val="left"/>
      <w:pPr>
        <w:tabs>
          <w:tab w:val="num" w:pos="576"/>
        </w:tabs>
      </w:pPr>
      <w:rPr>
        <w:rFonts w:ascii="Arial" w:hAnsi="Arial"/>
        <w:b/>
        <w:i w:val="0"/>
        <w:caps/>
        <w:strike w:val="0"/>
        <w:dstrike w:val="0"/>
        <w:vanish w:val="0"/>
        <w:color w:val="000000"/>
        <w:sz w:val="20"/>
        <w:u w:val="none"/>
      </w:rPr>
    </w:lvl>
    <w:lvl w:ilvl="2">
      <w:start w:val="1"/>
      <w:numFmt w:val="upperLetter"/>
      <w:lvlText w:val="%3."/>
      <w:lvlJc w:val="left"/>
      <w:pPr>
        <w:tabs>
          <w:tab w:val="num" w:pos="576"/>
        </w:tabs>
        <w:ind w:left="259"/>
      </w:pPr>
      <w:rPr>
        <w:rFonts w:ascii="Arial" w:hAnsi="Arial"/>
        <w:b/>
        <w:i w:val="0"/>
        <w:caps w:val="0"/>
        <w:strike w:val="0"/>
        <w:dstrike w:val="0"/>
        <w:vanish w:val="0"/>
        <w:color w:val="000000"/>
        <w:sz w:val="20"/>
        <w:u w:val="none"/>
      </w:rPr>
    </w:lvl>
    <w:lvl w:ilvl="3">
      <w:start w:val="1"/>
      <w:numFmt w:val="lowerRoman"/>
      <w:lvlText w:val="(%4)"/>
      <w:lvlJc w:val="left"/>
      <w:pPr>
        <w:tabs>
          <w:tab w:val="num" w:pos="864"/>
        </w:tabs>
        <w:ind w:left="360"/>
      </w:pPr>
      <w:rPr>
        <w:rFonts w:ascii="Arial" w:hAnsi="Arial"/>
        <w:b/>
        <w:i w:val="0"/>
        <w:caps w:val="0"/>
        <w:strike w:val="0"/>
        <w:dstrike w:val="0"/>
        <w:vanish w:val="0"/>
        <w:color w:val="000000"/>
        <w:sz w:val="20"/>
        <w:u w:val="none"/>
      </w:rPr>
    </w:lvl>
    <w:lvl w:ilvl="4">
      <w:start w:val="1"/>
      <w:numFmt w:val="lowerLetter"/>
      <w:lvlText w:val="(%5)"/>
      <w:lvlJc w:val="left"/>
      <w:pPr>
        <w:tabs>
          <w:tab w:val="num" w:pos="1195"/>
        </w:tabs>
        <w:ind w:left="864"/>
      </w:pPr>
      <w:rPr>
        <w:rFonts w:ascii="Arial" w:hAnsi="Arial"/>
        <w:b/>
        <w:i w:val="0"/>
        <w:caps w:val="0"/>
        <w:strike w:val="0"/>
        <w:dstrike w:val="0"/>
        <w:vanish w:val="0"/>
        <w:color w:val="000000"/>
        <w:sz w:val="20"/>
        <w:u w:val="none"/>
      </w:rPr>
    </w:lvl>
    <w:lvl w:ilvl="5">
      <w:start w:val="1"/>
      <w:numFmt w:val="lowerRoman"/>
      <w:lvlText w:val="(%6)"/>
      <w:lvlJc w:val="left"/>
      <w:pPr>
        <w:ind w:left="2160" w:hanging="360"/>
      </w:pPr>
    </w:lvl>
    <w:lvl w:ilvl="6">
      <w:start w:val="1"/>
      <w:numFmt w:val="lowerRoman"/>
      <w:lvlText w:val="(%7)"/>
      <w:lvlJc w:val="left"/>
      <w:pPr>
        <w:ind w:left="2520" w:hanging="360"/>
      </w:pPr>
      <w:rPr>
        <w:rFonts w:ascii="Arial" w:eastAsia="Times New Roman"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120359"/>
    <w:multiLevelType w:val="hybridMultilevel"/>
    <w:tmpl w:val="91202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B1FBF"/>
    <w:multiLevelType w:val="multilevel"/>
    <w:tmpl w:val="FF7E34F2"/>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1.%2"/>
      <w:lvlJc w:val="left"/>
      <w:pPr>
        <w:ind w:left="0" w:firstLine="0"/>
      </w:pPr>
      <w:rPr>
        <w:rFonts w:ascii="Arial Bold" w:hAnsi="Arial Bold" w:hint="default"/>
        <w:b/>
        <w:i w:val="0"/>
        <w:sz w:val="20"/>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B47B64"/>
    <w:multiLevelType w:val="hybridMultilevel"/>
    <w:tmpl w:val="D4345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10F66"/>
    <w:multiLevelType w:val="multilevel"/>
    <w:tmpl w:val="3670C9C4"/>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1.%2"/>
      <w:lvlJc w:val="left"/>
      <w:pPr>
        <w:ind w:left="0" w:firstLine="0"/>
      </w:pPr>
      <w:rPr>
        <w:rFonts w:ascii="Arial Bold" w:hAnsi="Arial Bold" w:hint="default"/>
        <w:b/>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E97107C"/>
    <w:multiLevelType w:val="multilevel"/>
    <w:tmpl w:val="1EFE7100"/>
    <w:styleLink w:val="zGzListStyle3"/>
    <w:lvl w:ilvl="0">
      <w:start w:val="1"/>
      <w:numFmt w:val="none"/>
      <w:lvlText w:val="1."/>
      <w:lvlJc w:val="left"/>
      <w:pPr>
        <w:ind w:left="1440" w:hanging="360"/>
      </w:pPr>
      <w:rPr>
        <w:rFonts w:ascii="Arial Bold" w:hAnsi="Arial Bold" w:hint="default"/>
        <w:b/>
        <w:i w:val="0"/>
        <w:sz w:val="20"/>
      </w:rPr>
    </w:lvl>
    <w:lvl w:ilvl="1">
      <w:start w:val="1"/>
      <w:numFmt w:val="lowerLetter"/>
      <w:lvlText w:val="%2)"/>
      <w:lvlJc w:val="left"/>
      <w:pPr>
        <w:ind w:left="1800" w:hanging="360"/>
      </w:pPr>
      <w:rPr>
        <w:rFonts w:hint="default"/>
      </w:rPr>
    </w:lvl>
    <w:lvl w:ilvl="2">
      <w:start w:val="1"/>
      <w:numFmt w:val="lowerRoman"/>
      <w:lvlText w:val="%3)"/>
      <w:lvlJc w:val="left"/>
      <w:pPr>
        <w:ind w:left="2160" w:hanging="360"/>
      </w:pPr>
      <w:rPr>
        <w:rFonts w:hint="default"/>
      </w:rPr>
    </w:lvl>
    <w:lvl w:ilvl="3">
      <w:start w:val="1"/>
      <w:numFmt w:val="decimal"/>
      <w:lvlText w:val="(%4)"/>
      <w:lvlJc w:val="left"/>
      <w:pPr>
        <w:ind w:left="2520" w:hanging="360"/>
      </w:pPr>
      <w:rPr>
        <w:rFonts w:ascii="Arial" w:hAnsi="Arial" w:hint="default"/>
        <w:b/>
        <w:sz w:val="20"/>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20" w15:restartNumberingAfterBreak="0">
    <w:nsid w:val="309154A4"/>
    <w:multiLevelType w:val="hybridMultilevel"/>
    <w:tmpl w:val="531AA44A"/>
    <w:lvl w:ilvl="0" w:tplc="F6386132">
      <w:start w:val="1"/>
      <w:numFmt w:val="decimal"/>
      <w:lvlText w:val="%1."/>
      <w:lvlJc w:val="left"/>
      <w:pPr>
        <w:ind w:left="720" w:hanging="360"/>
      </w:pPr>
      <w:rPr>
        <w:rFonts w:hint="default"/>
        <w:u w:val="none"/>
      </w:rPr>
    </w:lvl>
    <w:lvl w:ilvl="1" w:tplc="4558ACE8">
      <w:start w:val="1"/>
      <w:numFmt w:val="lowerLetter"/>
      <w:lvlText w:val="%2."/>
      <w:lvlJc w:val="left"/>
      <w:pPr>
        <w:ind w:left="1440" w:hanging="360"/>
      </w:pPr>
    </w:lvl>
    <w:lvl w:ilvl="2" w:tplc="D584C004" w:tentative="1">
      <w:start w:val="1"/>
      <w:numFmt w:val="lowerRoman"/>
      <w:lvlText w:val="%3."/>
      <w:lvlJc w:val="right"/>
      <w:pPr>
        <w:ind w:left="2160" w:hanging="180"/>
      </w:pPr>
    </w:lvl>
    <w:lvl w:ilvl="3" w:tplc="14C8A59C" w:tentative="1">
      <w:start w:val="1"/>
      <w:numFmt w:val="decimal"/>
      <w:lvlText w:val="%4."/>
      <w:lvlJc w:val="left"/>
      <w:pPr>
        <w:ind w:left="2880" w:hanging="360"/>
      </w:pPr>
    </w:lvl>
    <w:lvl w:ilvl="4" w:tplc="0046DBB2" w:tentative="1">
      <w:start w:val="1"/>
      <w:numFmt w:val="lowerLetter"/>
      <w:lvlText w:val="%5."/>
      <w:lvlJc w:val="left"/>
      <w:pPr>
        <w:ind w:left="3600" w:hanging="360"/>
      </w:pPr>
    </w:lvl>
    <w:lvl w:ilvl="5" w:tplc="CE66A6A2" w:tentative="1">
      <w:start w:val="1"/>
      <w:numFmt w:val="lowerRoman"/>
      <w:lvlText w:val="%6."/>
      <w:lvlJc w:val="right"/>
      <w:pPr>
        <w:ind w:left="4320" w:hanging="180"/>
      </w:pPr>
    </w:lvl>
    <w:lvl w:ilvl="6" w:tplc="016CE756" w:tentative="1">
      <w:start w:val="1"/>
      <w:numFmt w:val="decimal"/>
      <w:lvlText w:val="%7."/>
      <w:lvlJc w:val="left"/>
      <w:pPr>
        <w:ind w:left="5040" w:hanging="360"/>
      </w:pPr>
    </w:lvl>
    <w:lvl w:ilvl="7" w:tplc="65784B58" w:tentative="1">
      <w:start w:val="1"/>
      <w:numFmt w:val="lowerLetter"/>
      <w:lvlText w:val="%8."/>
      <w:lvlJc w:val="left"/>
      <w:pPr>
        <w:ind w:left="5760" w:hanging="360"/>
      </w:pPr>
    </w:lvl>
    <w:lvl w:ilvl="8" w:tplc="D37AA10E" w:tentative="1">
      <w:start w:val="1"/>
      <w:numFmt w:val="lowerRoman"/>
      <w:lvlText w:val="%9."/>
      <w:lvlJc w:val="right"/>
      <w:pPr>
        <w:ind w:left="6480" w:hanging="180"/>
      </w:pPr>
    </w:lvl>
  </w:abstractNum>
  <w:abstractNum w:abstractNumId="21" w15:restartNumberingAfterBreak="0">
    <w:nsid w:val="30A73F96"/>
    <w:multiLevelType w:val="multilevel"/>
    <w:tmpl w:val="BB8C9956"/>
    <w:styleLink w:val="zGzListStyle2"/>
    <w:lvl w:ilvl="0">
      <w:start w:val="1"/>
      <w:numFmt w:val="decimal"/>
      <w:lvlText w:val="%1."/>
      <w:lvlJc w:val="left"/>
      <w:pPr>
        <w:tabs>
          <w:tab w:val="num" w:pos="504"/>
        </w:tabs>
        <w:ind w:left="0" w:firstLine="0"/>
      </w:pPr>
      <w:rPr>
        <w:rFonts w:ascii="Arial" w:hAnsi="Arial" w:hint="default"/>
        <w:b/>
        <w:i w:val="0"/>
        <w:caps w:val="0"/>
        <w:strike w:val="0"/>
        <w:dstrike w:val="0"/>
        <w:vanish w:val="0"/>
        <w:color w:val="000000" w:themeColor="text1"/>
        <w:sz w:val="20"/>
        <w:u w:val="none"/>
        <w:vertAlign w:val="baseline"/>
      </w:rPr>
    </w:lvl>
    <w:lvl w:ilvl="1">
      <w:start w:val="1"/>
      <w:numFmt w:val="upperLetter"/>
      <w:lvlText w:val="%2."/>
      <w:lvlJc w:val="left"/>
      <w:pPr>
        <w:tabs>
          <w:tab w:val="num" w:pos="576"/>
        </w:tabs>
        <w:ind w:left="288" w:firstLine="0"/>
      </w:pPr>
      <w:rPr>
        <w:rFonts w:ascii="Arial" w:hAnsi="Arial" w:hint="default"/>
        <w:b/>
        <w:i w:val="0"/>
        <w:caps w:val="0"/>
        <w:strike w:val="0"/>
        <w:dstrike w:val="0"/>
        <w:vanish w:val="0"/>
        <w:color w:val="000000" w:themeColor="text1"/>
        <w:sz w:val="20"/>
        <w:vertAlign w:val="baseline"/>
      </w:rPr>
    </w:lvl>
    <w:lvl w:ilvl="2">
      <w:start w:val="1"/>
      <w:numFmt w:val="lowerRoman"/>
      <w:lvlText w:val="%3."/>
      <w:lvlJc w:val="left"/>
      <w:pPr>
        <w:tabs>
          <w:tab w:val="num" w:pos="1080"/>
        </w:tabs>
        <w:ind w:left="1080" w:hanging="504"/>
      </w:pPr>
      <w:rPr>
        <w:rFonts w:ascii="Arial" w:hAnsi="Arial" w:hint="default"/>
        <w:b/>
        <w:i w:val="0"/>
        <w:caps w:val="0"/>
        <w:strike w:val="0"/>
        <w:dstrike w:val="0"/>
        <w:vanish w:val="0"/>
        <w:color w:val="000000" w:themeColor="text1"/>
        <w:sz w:val="20"/>
        <w:vertAlign w:val="base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935962"/>
    <w:multiLevelType w:val="multilevel"/>
    <w:tmpl w:val="BB38E18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445057"/>
    <w:multiLevelType w:val="hybridMultilevel"/>
    <w:tmpl w:val="CBD68B9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A84B07"/>
    <w:multiLevelType w:val="multilevel"/>
    <w:tmpl w:val="8A60044A"/>
    <w:styleLink w:val="zGzListStyle1"/>
    <w:lvl w:ilvl="0">
      <w:start w:val="1"/>
      <w:numFmt w:val="decimal"/>
      <w:lvlText w:val="Part %1"/>
      <w:lvlJc w:val="left"/>
      <w:pPr>
        <w:tabs>
          <w:tab w:val="num" w:pos="936"/>
        </w:tabs>
        <w:ind w:left="936" w:hanging="936"/>
      </w:pPr>
      <w:rPr>
        <w:rFonts w:ascii="Arial" w:hAnsi="Arial" w:hint="default"/>
        <w:b/>
        <w:i w:val="0"/>
        <w:caps/>
        <w:strike w:val="0"/>
        <w:dstrike w:val="0"/>
        <w:vanish w:val="0"/>
        <w:color w:val="000000" w:themeColor="text1"/>
        <w:sz w:val="20"/>
        <w:u w:val="none"/>
        <w:vertAlign w:val="baseline"/>
      </w:rPr>
    </w:lvl>
    <w:lvl w:ilvl="1">
      <w:start w:val="1"/>
      <w:numFmt w:val="decimal"/>
      <w:lvlText w:val="%1.%2"/>
      <w:lvlJc w:val="left"/>
      <w:pPr>
        <w:tabs>
          <w:tab w:val="num" w:pos="576"/>
        </w:tabs>
        <w:ind w:left="0" w:firstLine="0"/>
      </w:pPr>
      <w:rPr>
        <w:rFonts w:ascii="Arial" w:hAnsi="Arial" w:hint="default"/>
        <w:b/>
        <w:i w:val="0"/>
        <w:caps/>
        <w:strike w:val="0"/>
        <w:dstrike w:val="0"/>
        <w:vanish w:val="0"/>
        <w:color w:val="000000" w:themeColor="text1"/>
        <w:sz w:val="20"/>
        <w:u w:val="none"/>
        <w:vertAlign w:val="baseline"/>
      </w:rPr>
    </w:lvl>
    <w:lvl w:ilvl="2">
      <w:start w:val="1"/>
      <w:numFmt w:val="upperLetter"/>
      <w:lvlText w:val="%3."/>
      <w:lvlJc w:val="left"/>
      <w:pPr>
        <w:tabs>
          <w:tab w:val="num" w:pos="576"/>
        </w:tabs>
        <w:ind w:left="259" w:firstLine="0"/>
      </w:pPr>
      <w:rPr>
        <w:rFonts w:ascii="Arial" w:hAnsi="Arial" w:hint="default"/>
        <w:b/>
        <w:i w:val="0"/>
        <w:caps w:val="0"/>
        <w:strike w:val="0"/>
        <w:dstrike w:val="0"/>
        <w:vanish w:val="0"/>
        <w:color w:val="000000" w:themeColor="text1"/>
        <w:sz w:val="20"/>
        <w:u w:val="none"/>
        <w:vertAlign w:val="baseline"/>
      </w:rPr>
    </w:lvl>
    <w:lvl w:ilvl="3">
      <w:start w:val="1"/>
      <w:numFmt w:val="lowerRoman"/>
      <w:lvlText w:val="(%4)"/>
      <w:lvlJc w:val="left"/>
      <w:pPr>
        <w:tabs>
          <w:tab w:val="num" w:pos="864"/>
        </w:tabs>
        <w:ind w:left="360" w:firstLine="0"/>
      </w:pPr>
      <w:rPr>
        <w:rFonts w:hint="default"/>
        <w:b/>
        <w:i w:val="0"/>
        <w:caps w:val="0"/>
        <w:strike w:val="0"/>
        <w:dstrike w:val="0"/>
        <w:vanish w:val="0"/>
        <w:color w:val="000000" w:themeColor="text1"/>
        <w:sz w:val="20"/>
        <w:u w:val="none"/>
        <w:vertAlign w:val="baseline"/>
      </w:rPr>
    </w:lvl>
    <w:lvl w:ilvl="4">
      <w:start w:val="1"/>
      <w:numFmt w:val="lowerLetter"/>
      <w:lvlText w:val="(%5)"/>
      <w:lvlJc w:val="left"/>
      <w:pPr>
        <w:tabs>
          <w:tab w:val="num" w:pos="1195"/>
        </w:tabs>
        <w:ind w:left="864" w:firstLine="0"/>
      </w:pPr>
      <w:rPr>
        <w:rFonts w:ascii="Arial" w:hAnsi="Arial" w:hint="default"/>
        <w:b/>
        <w:i w:val="0"/>
        <w:caps w:val="0"/>
        <w:strike w:val="0"/>
        <w:dstrike w:val="0"/>
        <w:vanish w:val="0"/>
        <w:color w:val="000000" w:themeColor="text1"/>
        <w:sz w:val="20"/>
        <w:u w:val="none"/>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0146575"/>
    <w:multiLevelType w:val="multilevel"/>
    <w:tmpl w:val="DDC45ACC"/>
    <w:lvl w:ilvl="0">
      <w:start w:val="1"/>
      <w:numFmt w:val="decimal"/>
      <w:suff w:val="space"/>
      <w:lvlText w:val="PART %1 -"/>
      <w:lvlJc w:val="left"/>
      <w:pPr>
        <w:ind w:left="360" w:hanging="360"/>
      </w:pPr>
      <w:rPr>
        <w:rFonts w:ascii="Arial Bold" w:hAnsi="Arial Bold" w:hint="default"/>
        <w:b/>
        <w:i w:val="0"/>
        <w:sz w:val="20"/>
      </w:rPr>
    </w:lvl>
    <w:lvl w:ilvl="1">
      <w:start w:val="1"/>
      <w:numFmt w:val="decimal"/>
      <w:lvlText w:val="%1.%2"/>
      <w:lvlJc w:val="left"/>
      <w:pPr>
        <w:ind w:left="0" w:firstLine="0"/>
      </w:pPr>
      <w:rPr>
        <w:rFonts w:ascii="Arial Bold" w:hAnsi="Arial Bold" w:hint="default"/>
        <w:b/>
        <w:i w:val="0"/>
        <w:sz w:val="20"/>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0297747"/>
    <w:multiLevelType w:val="hybridMultilevel"/>
    <w:tmpl w:val="2350192A"/>
    <w:lvl w:ilvl="0" w:tplc="14DECA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36F1E"/>
    <w:multiLevelType w:val="hybridMultilevel"/>
    <w:tmpl w:val="3D72AC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4732F2"/>
    <w:multiLevelType w:val="hybridMultilevel"/>
    <w:tmpl w:val="C6BE1C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2D20BB"/>
    <w:multiLevelType w:val="hybridMultilevel"/>
    <w:tmpl w:val="CF00DF34"/>
    <w:lvl w:ilvl="0" w:tplc="8EB40140">
      <w:start w:val="1"/>
      <w:numFmt w:val="decimal"/>
      <w:lvlText w:val="%1."/>
      <w:lvlJc w:val="left"/>
      <w:pPr>
        <w:ind w:left="720" w:hanging="360"/>
      </w:pPr>
    </w:lvl>
    <w:lvl w:ilvl="1" w:tplc="60C01576" w:tentative="1">
      <w:start w:val="1"/>
      <w:numFmt w:val="lowerLetter"/>
      <w:lvlText w:val="%2."/>
      <w:lvlJc w:val="left"/>
      <w:pPr>
        <w:ind w:left="1440" w:hanging="360"/>
      </w:pPr>
    </w:lvl>
    <w:lvl w:ilvl="2" w:tplc="9FC83204" w:tentative="1">
      <w:start w:val="1"/>
      <w:numFmt w:val="lowerRoman"/>
      <w:lvlText w:val="%3."/>
      <w:lvlJc w:val="right"/>
      <w:pPr>
        <w:ind w:left="2160" w:hanging="180"/>
      </w:pPr>
    </w:lvl>
    <w:lvl w:ilvl="3" w:tplc="2CAC0902" w:tentative="1">
      <w:start w:val="1"/>
      <w:numFmt w:val="decimal"/>
      <w:lvlText w:val="%4."/>
      <w:lvlJc w:val="left"/>
      <w:pPr>
        <w:ind w:left="2880" w:hanging="360"/>
      </w:pPr>
    </w:lvl>
    <w:lvl w:ilvl="4" w:tplc="0F408A4C" w:tentative="1">
      <w:start w:val="1"/>
      <w:numFmt w:val="lowerLetter"/>
      <w:lvlText w:val="%5."/>
      <w:lvlJc w:val="left"/>
      <w:pPr>
        <w:ind w:left="3600" w:hanging="360"/>
      </w:pPr>
    </w:lvl>
    <w:lvl w:ilvl="5" w:tplc="30B64724" w:tentative="1">
      <w:start w:val="1"/>
      <w:numFmt w:val="lowerRoman"/>
      <w:lvlText w:val="%6."/>
      <w:lvlJc w:val="right"/>
      <w:pPr>
        <w:ind w:left="4320" w:hanging="180"/>
      </w:pPr>
    </w:lvl>
    <w:lvl w:ilvl="6" w:tplc="87AC65A0" w:tentative="1">
      <w:start w:val="1"/>
      <w:numFmt w:val="decimal"/>
      <w:lvlText w:val="%7."/>
      <w:lvlJc w:val="left"/>
      <w:pPr>
        <w:ind w:left="5040" w:hanging="360"/>
      </w:pPr>
    </w:lvl>
    <w:lvl w:ilvl="7" w:tplc="43743042" w:tentative="1">
      <w:start w:val="1"/>
      <w:numFmt w:val="lowerLetter"/>
      <w:lvlText w:val="%8."/>
      <w:lvlJc w:val="left"/>
      <w:pPr>
        <w:ind w:left="5760" w:hanging="360"/>
      </w:pPr>
    </w:lvl>
    <w:lvl w:ilvl="8" w:tplc="DD66154A" w:tentative="1">
      <w:start w:val="1"/>
      <w:numFmt w:val="lowerRoman"/>
      <w:lvlText w:val="%9."/>
      <w:lvlJc w:val="right"/>
      <w:pPr>
        <w:ind w:left="6480" w:hanging="180"/>
      </w:pPr>
    </w:lvl>
  </w:abstractNum>
  <w:abstractNum w:abstractNumId="30" w15:restartNumberingAfterBreak="0">
    <w:nsid w:val="69331D87"/>
    <w:multiLevelType w:val="hybridMultilevel"/>
    <w:tmpl w:val="D92C270A"/>
    <w:name w:val="Heading3"/>
    <w:lvl w:ilvl="0" w:tplc="2ECEDA62">
      <w:start w:val="1"/>
      <w:numFmt w:val="bullet"/>
      <w:lvlText w:val=""/>
      <w:lvlJc w:val="left"/>
      <w:pPr>
        <w:ind w:left="1440" w:hanging="360"/>
      </w:pPr>
      <w:rPr>
        <w:rFonts w:ascii="Wingdings" w:hAnsi="Wingdings" w:hint="default"/>
      </w:rPr>
    </w:lvl>
    <w:lvl w:ilvl="1" w:tplc="5DF60B9E" w:tentative="1">
      <w:start w:val="1"/>
      <w:numFmt w:val="bullet"/>
      <w:lvlText w:val="o"/>
      <w:lvlJc w:val="left"/>
      <w:pPr>
        <w:ind w:left="2160" w:hanging="360"/>
      </w:pPr>
      <w:rPr>
        <w:rFonts w:ascii="Courier New" w:hAnsi="Courier New" w:cs="Courier New" w:hint="default"/>
      </w:rPr>
    </w:lvl>
    <w:lvl w:ilvl="2" w:tplc="1668F51A" w:tentative="1">
      <w:start w:val="1"/>
      <w:numFmt w:val="bullet"/>
      <w:lvlText w:val=""/>
      <w:lvlJc w:val="left"/>
      <w:pPr>
        <w:ind w:left="2880" w:hanging="360"/>
      </w:pPr>
      <w:rPr>
        <w:rFonts w:ascii="Wingdings" w:hAnsi="Wingdings" w:hint="default"/>
      </w:rPr>
    </w:lvl>
    <w:lvl w:ilvl="3" w:tplc="7CA6485E" w:tentative="1">
      <w:start w:val="1"/>
      <w:numFmt w:val="bullet"/>
      <w:lvlText w:val=""/>
      <w:lvlJc w:val="left"/>
      <w:pPr>
        <w:ind w:left="3600" w:hanging="360"/>
      </w:pPr>
      <w:rPr>
        <w:rFonts w:ascii="Symbol" w:hAnsi="Symbol" w:hint="default"/>
      </w:rPr>
    </w:lvl>
    <w:lvl w:ilvl="4" w:tplc="CDA8281C" w:tentative="1">
      <w:start w:val="1"/>
      <w:numFmt w:val="bullet"/>
      <w:lvlText w:val="o"/>
      <w:lvlJc w:val="left"/>
      <w:pPr>
        <w:ind w:left="4320" w:hanging="360"/>
      </w:pPr>
      <w:rPr>
        <w:rFonts w:ascii="Courier New" w:hAnsi="Courier New" w:cs="Courier New" w:hint="default"/>
      </w:rPr>
    </w:lvl>
    <w:lvl w:ilvl="5" w:tplc="028E6954" w:tentative="1">
      <w:start w:val="1"/>
      <w:numFmt w:val="bullet"/>
      <w:lvlText w:val=""/>
      <w:lvlJc w:val="left"/>
      <w:pPr>
        <w:ind w:left="5040" w:hanging="360"/>
      </w:pPr>
      <w:rPr>
        <w:rFonts w:ascii="Wingdings" w:hAnsi="Wingdings" w:hint="default"/>
      </w:rPr>
    </w:lvl>
    <w:lvl w:ilvl="6" w:tplc="41908182" w:tentative="1">
      <w:start w:val="1"/>
      <w:numFmt w:val="bullet"/>
      <w:lvlText w:val=""/>
      <w:lvlJc w:val="left"/>
      <w:pPr>
        <w:ind w:left="5760" w:hanging="360"/>
      </w:pPr>
      <w:rPr>
        <w:rFonts w:ascii="Symbol" w:hAnsi="Symbol" w:hint="default"/>
      </w:rPr>
    </w:lvl>
    <w:lvl w:ilvl="7" w:tplc="E19CC51E" w:tentative="1">
      <w:start w:val="1"/>
      <w:numFmt w:val="bullet"/>
      <w:lvlText w:val="o"/>
      <w:lvlJc w:val="left"/>
      <w:pPr>
        <w:ind w:left="6480" w:hanging="360"/>
      </w:pPr>
      <w:rPr>
        <w:rFonts w:ascii="Courier New" w:hAnsi="Courier New" w:cs="Courier New" w:hint="default"/>
      </w:rPr>
    </w:lvl>
    <w:lvl w:ilvl="8" w:tplc="8A4E3F00" w:tentative="1">
      <w:start w:val="1"/>
      <w:numFmt w:val="bullet"/>
      <w:lvlText w:val=""/>
      <w:lvlJc w:val="left"/>
      <w:pPr>
        <w:ind w:left="7200" w:hanging="360"/>
      </w:pPr>
      <w:rPr>
        <w:rFonts w:ascii="Wingdings" w:hAnsi="Wingdings" w:hint="default"/>
      </w:rPr>
    </w:lvl>
  </w:abstractNum>
  <w:abstractNum w:abstractNumId="31" w15:restartNumberingAfterBreak="0">
    <w:nsid w:val="76F02612"/>
    <w:multiLevelType w:val="hybridMultilevel"/>
    <w:tmpl w:val="A3F444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57309"/>
    <w:multiLevelType w:val="multilevel"/>
    <w:tmpl w:val="99D86774"/>
    <w:name w:val="zGBody"/>
    <w:lvl w:ilvl="0">
      <w:start w:val="1"/>
      <w:numFmt w:val="decimal"/>
      <w:pStyle w:val="zGBody1"/>
      <w:isLgl/>
      <w:lvlText w:val="PART %1."/>
      <w:lvlJc w:val="left"/>
      <w:pPr>
        <w:tabs>
          <w:tab w:val="num" w:pos="1152"/>
        </w:tabs>
        <w:ind w:left="1152" w:hanging="1152"/>
      </w:pPr>
      <w:rPr>
        <w:rFonts w:ascii="Arial Bold" w:hAnsi="Arial Bold" w:hint="default"/>
        <w:b/>
        <w:i w:val="0"/>
        <w:caps/>
        <w:strike w:val="0"/>
        <w:dstrike w:val="0"/>
        <w:vanish w:val="0"/>
        <w:color w:val="auto"/>
        <w:sz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zGBody2"/>
      <w:isLgl/>
      <w:lvlText w:val="%1.%2."/>
      <w:lvlJc w:val="left"/>
      <w:pPr>
        <w:tabs>
          <w:tab w:val="num" w:pos="1152"/>
        </w:tabs>
        <w:ind w:left="1152" w:hanging="576"/>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zGBody3"/>
      <w:isLgl/>
      <w:lvlText w:val="%1.%2.%3."/>
      <w:lvlJc w:val="left"/>
      <w:pPr>
        <w:tabs>
          <w:tab w:val="num" w:pos="1872"/>
        </w:tabs>
        <w:ind w:left="1152"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zGBody4"/>
      <w:lvlText w:val="%4."/>
      <w:lvlJc w:val="left"/>
      <w:pPr>
        <w:tabs>
          <w:tab w:val="num" w:pos="1728"/>
        </w:tabs>
        <w:ind w:left="1584"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zGBody5"/>
      <w:lvlText w:val="(%5)."/>
      <w:lvlJc w:val="left"/>
      <w:pPr>
        <w:tabs>
          <w:tab w:val="num" w:pos="2304"/>
        </w:tabs>
        <w:ind w:left="1872" w:firstLine="0"/>
      </w:pPr>
      <w:rPr>
        <w:rFonts w:ascii="Arial Bold" w:hAnsi="Arial Bold" w:hint="default"/>
        <w:b/>
        <w:bCs w:val="0"/>
        <w:i w:val="0"/>
        <w:sz w:val="20"/>
      </w:rPr>
    </w:lvl>
    <w:lvl w:ilvl="5">
      <w:start w:val="1"/>
      <w:numFmt w:val="lowerLetter"/>
      <w:pStyle w:val="zGBody6"/>
      <w:lvlText w:val="(%6)"/>
      <w:lvlJc w:val="left"/>
      <w:pPr>
        <w:tabs>
          <w:tab w:val="num" w:pos="2088"/>
        </w:tabs>
        <w:ind w:left="2088" w:firstLine="0"/>
      </w:pPr>
      <w:rPr>
        <w:rFonts w:ascii="Arial Bold" w:hAnsi="Arial Bold" w:hint="default"/>
        <w:b/>
        <w:i w:val="0"/>
        <w:sz w:val="20"/>
      </w:rPr>
    </w:lvl>
    <w:lvl w:ilvl="6">
      <w:start w:val="1"/>
      <w:numFmt w:val="decimalZero"/>
      <w:lvlText w:val="(%7)"/>
      <w:lvlJc w:val="left"/>
      <w:pPr>
        <w:tabs>
          <w:tab w:val="num" w:pos="2736"/>
        </w:tabs>
        <w:ind w:left="2736" w:firstLine="0"/>
      </w:pPr>
      <w:rPr>
        <w:rFonts w:ascii="Arial Bold" w:hAnsi="Arial Bold" w:hint="default"/>
        <w:b/>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456"/>
        </w:tabs>
        <w:ind w:left="3024" w:firstLine="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744"/>
        </w:tabs>
        <w:ind w:left="3384" w:firstLine="0"/>
      </w:pPr>
      <w:rPr>
        <w:rFonts w:ascii="Symbol" w:hAnsi="Symbol" w:hint="default"/>
        <w:strike w:val="0"/>
        <w:dstrike w:val="0"/>
        <w:color w:val="auto"/>
      </w:rPr>
    </w:lvl>
  </w:abstractNum>
  <w:abstractNum w:abstractNumId="33" w15:restartNumberingAfterBreak="0">
    <w:nsid w:val="7F29119E"/>
    <w:multiLevelType w:val="hybridMultilevel"/>
    <w:tmpl w:val="A8229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2981149">
    <w:abstractNumId w:val="11"/>
  </w:num>
  <w:num w:numId="2" w16cid:durableId="1897469150">
    <w:abstractNumId w:val="24"/>
  </w:num>
  <w:num w:numId="3" w16cid:durableId="163976152">
    <w:abstractNumId w:val="21"/>
  </w:num>
  <w:num w:numId="4" w16cid:durableId="1734545941">
    <w:abstractNumId w:val="19"/>
  </w:num>
  <w:num w:numId="5" w16cid:durableId="936408243">
    <w:abstractNumId w:val="33"/>
  </w:num>
  <w:num w:numId="6" w16cid:durableId="2788789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8429740">
    <w:abstractNumId w:val="3"/>
    <w:lvlOverride w:ilvl="0">
      <w:startOverride w:val="1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393717">
    <w:abstractNumId w:val="14"/>
  </w:num>
  <w:num w:numId="9" w16cid:durableId="204564030">
    <w:abstractNumId w:val="22"/>
  </w:num>
  <w:num w:numId="10" w16cid:durableId="2100562180">
    <w:abstractNumId w:val="7"/>
  </w:num>
  <w:num w:numId="11" w16cid:durableId="1249732487">
    <w:abstractNumId w:val="23"/>
  </w:num>
  <w:num w:numId="12" w16cid:durableId="1572883870">
    <w:abstractNumId w:val="27"/>
  </w:num>
  <w:num w:numId="13" w16cid:durableId="1223784126">
    <w:abstractNumId w:val="25"/>
  </w:num>
  <w:num w:numId="14" w16cid:durableId="360398160">
    <w:abstractNumId w:val="17"/>
  </w:num>
  <w:num w:numId="15" w16cid:durableId="80879280">
    <w:abstractNumId w:val="18"/>
  </w:num>
  <w:num w:numId="16" w16cid:durableId="799499997">
    <w:abstractNumId w:val="31"/>
  </w:num>
  <w:num w:numId="17" w16cid:durableId="121117453">
    <w:abstractNumId w:val="28"/>
  </w:num>
  <w:num w:numId="18" w16cid:durableId="1479766625">
    <w:abstractNumId w:val="20"/>
  </w:num>
  <w:num w:numId="19" w16cid:durableId="1047218579">
    <w:abstractNumId w:val="11"/>
  </w:num>
  <w:num w:numId="20" w16cid:durableId="1929540267">
    <w:abstractNumId w:val="29"/>
  </w:num>
  <w:num w:numId="21" w16cid:durableId="984315761">
    <w:abstractNumId w:val="15"/>
  </w:num>
  <w:num w:numId="22" w16cid:durableId="14453434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4426087">
    <w:abstractNumId w:val="9"/>
  </w:num>
  <w:num w:numId="24" w16cid:durableId="788470499">
    <w:abstractNumId w:val="0"/>
  </w:num>
  <w:num w:numId="25" w16cid:durableId="566039949">
    <w:abstractNumId w:val="5"/>
  </w:num>
  <w:num w:numId="26" w16cid:durableId="1419327222">
    <w:abstractNumId w:val="32"/>
  </w:num>
  <w:num w:numId="27" w16cid:durableId="888565444">
    <w:abstractNumId w:val="8"/>
  </w:num>
  <w:num w:numId="28" w16cid:durableId="688219056">
    <w:abstractNumId w:val="2"/>
  </w:num>
  <w:num w:numId="29" w16cid:durableId="303968021">
    <w:abstractNumId w:val="4"/>
  </w:num>
  <w:num w:numId="30" w16cid:durableId="1999454624">
    <w:abstractNumId w:val="6"/>
  </w:num>
  <w:num w:numId="31" w16cid:durableId="1699970782">
    <w:abstractNumId w:val="1"/>
  </w:num>
  <w:num w:numId="32" w16cid:durableId="476605585">
    <w:abstractNumId w:val="11"/>
  </w:num>
  <w:num w:numId="33" w16cid:durableId="1451164261">
    <w:abstractNumId w:val="12"/>
  </w:num>
  <w:num w:numId="34" w16cid:durableId="313460087">
    <w:abstractNumId w:val="16"/>
  </w:num>
  <w:num w:numId="35" w16cid:durableId="1843858583">
    <w:abstractNumId w:val="10"/>
  </w:num>
  <w:num w:numId="36" w16cid:durableId="1648776614">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lang="en-US" w:vendorID="64" w:dllVersion="0" w:nlCheck="1" w:checkStyle="0" w:appName="MSWord"/>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AC9"/>
    <w:rsid w:val="000003E8"/>
    <w:rsid w:val="0000093F"/>
    <w:rsid w:val="00000C39"/>
    <w:rsid w:val="00000F7A"/>
    <w:rsid w:val="0000178E"/>
    <w:rsid w:val="00001A63"/>
    <w:rsid w:val="00001A6E"/>
    <w:rsid w:val="000021EF"/>
    <w:rsid w:val="00002222"/>
    <w:rsid w:val="000022FD"/>
    <w:rsid w:val="000024EC"/>
    <w:rsid w:val="0000263F"/>
    <w:rsid w:val="00002C7D"/>
    <w:rsid w:val="00002F96"/>
    <w:rsid w:val="00003025"/>
    <w:rsid w:val="00003617"/>
    <w:rsid w:val="00003723"/>
    <w:rsid w:val="00003921"/>
    <w:rsid w:val="00003E03"/>
    <w:rsid w:val="00003E6B"/>
    <w:rsid w:val="0000414C"/>
    <w:rsid w:val="00004383"/>
    <w:rsid w:val="0000471F"/>
    <w:rsid w:val="00004831"/>
    <w:rsid w:val="00004968"/>
    <w:rsid w:val="000049A9"/>
    <w:rsid w:val="00004D20"/>
    <w:rsid w:val="00004D5C"/>
    <w:rsid w:val="00004F8B"/>
    <w:rsid w:val="000052DE"/>
    <w:rsid w:val="000053FE"/>
    <w:rsid w:val="00005B3E"/>
    <w:rsid w:val="00006316"/>
    <w:rsid w:val="000068C2"/>
    <w:rsid w:val="00006A1C"/>
    <w:rsid w:val="00006C6D"/>
    <w:rsid w:val="00007739"/>
    <w:rsid w:val="00007A2C"/>
    <w:rsid w:val="00007A7C"/>
    <w:rsid w:val="00007C02"/>
    <w:rsid w:val="00007C52"/>
    <w:rsid w:val="000101B3"/>
    <w:rsid w:val="00010C31"/>
    <w:rsid w:val="00011B2B"/>
    <w:rsid w:val="0001204A"/>
    <w:rsid w:val="0001222A"/>
    <w:rsid w:val="0001223B"/>
    <w:rsid w:val="00012376"/>
    <w:rsid w:val="000123C6"/>
    <w:rsid w:val="00012A1F"/>
    <w:rsid w:val="00012BF8"/>
    <w:rsid w:val="000132CA"/>
    <w:rsid w:val="0001364B"/>
    <w:rsid w:val="00013DBC"/>
    <w:rsid w:val="00014035"/>
    <w:rsid w:val="00014156"/>
    <w:rsid w:val="00014DBC"/>
    <w:rsid w:val="00014ED0"/>
    <w:rsid w:val="00015408"/>
    <w:rsid w:val="000156AC"/>
    <w:rsid w:val="00015E00"/>
    <w:rsid w:val="00015F77"/>
    <w:rsid w:val="000160B9"/>
    <w:rsid w:val="0001721B"/>
    <w:rsid w:val="00017222"/>
    <w:rsid w:val="000172D7"/>
    <w:rsid w:val="000173F4"/>
    <w:rsid w:val="0001784B"/>
    <w:rsid w:val="00020088"/>
    <w:rsid w:val="00020525"/>
    <w:rsid w:val="0002052C"/>
    <w:rsid w:val="000209BD"/>
    <w:rsid w:val="00020BB7"/>
    <w:rsid w:val="0002143D"/>
    <w:rsid w:val="000216D3"/>
    <w:rsid w:val="00021828"/>
    <w:rsid w:val="00021A8F"/>
    <w:rsid w:val="00021D79"/>
    <w:rsid w:val="00022066"/>
    <w:rsid w:val="0002254D"/>
    <w:rsid w:val="00022662"/>
    <w:rsid w:val="000227D8"/>
    <w:rsid w:val="0002294A"/>
    <w:rsid w:val="00022E89"/>
    <w:rsid w:val="00022FCB"/>
    <w:rsid w:val="00023057"/>
    <w:rsid w:val="0002367B"/>
    <w:rsid w:val="00023ADF"/>
    <w:rsid w:val="00024589"/>
    <w:rsid w:val="00025256"/>
    <w:rsid w:val="0002543D"/>
    <w:rsid w:val="0002636F"/>
    <w:rsid w:val="0002637F"/>
    <w:rsid w:val="00026920"/>
    <w:rsid w:val="00026F29"/>
    <w:rsid w:val="00027956"/>
    <w:rsid w:val="000300E1"/>
    <w:rsid w:val="00030396"/>
    <w:rsid w:val="00030599"/>
    <w:rsid w:val="00031430"/>
    <w:rsid w:val="000317A1"/>
    <w:rsid w:val="000326E0"/>
    <w:rsid w:val="000329D2"/>
    <w:rsid w:val="00032BE3"/>
    <w:rsid w:val="00032F95"/>
    <w:rsid w:val="000333C3"/>
    <w:rsid w:val="00033446"/>
    <w:rsid w:val="000334B6"/>
    <w:rsid w:val="0003350C"/>
    <w:rsid w:val="000336AA"/>
    <w:rsid w:val="00033D0A"/>
    <w:rsid w:val="00033FF6"/>
    <w:rsid w:val="00034081"/>
    <w:rsid w:val="000341A9"/>
    <w:rsid w:val="000341C8"/>
    <w:rsid w:val="00034ACE"/>
    <w:rsid w:val="00035793"/>
    <w:rsid w:val="000357BC"/>
    <w:rsid w:val="00035E3B"/>
    <w:rsid w:val="00036669"/>
    <w:rsid w:val="00036C36"/>
    <w:rsid w:val="00036D12"/>
    <w:rsid w:val="0003712F"/>
    <w:rsid w:val="00037CBE"/>
    <w:rsid w:val="00037F83"/>
    <w:rsid w:val="00037FC4"/>
    <w:rsid w:val="00040663"/>
    <w:rsid w:val="00040773"/>
    <w:rsid w:val="0004096E"/>
    <w:rsid w:val="0004104C"/>
    <w:rsid w:val="00041085"/>
    <w:rsid w:val="0004171E"/>
    <w:rsid w:val="000417BA"/>
    <w:rsid w:val="0004189E"/>
    <w:rsid w:val="00042404"/>
    <w:rsid w:val="000424C3"/>
    <w:rsid w:val="00042628"/>
    <w:rsid w:val="00042654"/>
    <w:rsid w:val="00042C51"/>
    <w:rsid w:val="00043575"/>
    <w:rsid w:val="000437F7"/>
    <w:rsid w:val="00043AAF"/>
    <w:rsid w:val="00043F59"/>
    <w:rsid w:val="00044420"/>
    <w:rsid w:val="0004444E"/>
    <w:rsid w:val="0004468B"/>
    <w:rsid w:val="00045183"/>
    <w:rsid w:val="00045471"/>
    <w:rsid w:val="00045B2F"/>
    <w:rsid w:val="00045E16"/>
    <w:rsid w:val="0004659F"/>
    <w:rsid w:val="000466DB"/>
    <w:rsid w:val="00046A64"/>
    <w:rsid w:val="000478DF"/>
    <w:rsid w:val="00047D0B"/>
    <w:rsid w:val="00047DEF"/>
    <w:rsid w:val="000503C7"/>
    <w:rsid w:val="00050FFC"/>
    <w:rsid w:val="000519BA"/>
    <w:rsid w:val="00051B3B"/>
    <w:rsid w:val="00051E54"/>
    <w:rsid w:val="0005208A"/>
    <w:rsid w:val="00052A2F"/>
    <w:rsid w:val="00052B04"/>
    <w:rsid w:val="00052EC7"/>
    <w:rsid w:val="00053E75"/>
    <w:rsid w:val="00053F35"/>
    <w:rsid w:val="00054446"/>
    <w:rsid w:val="00054821"/>
    <w:rsid w:val="00055074"/>
    <w:rsid w:val="000550D4"/>
    <w:rsid w:val="00055459"/>
    <w:rsid w:val="0005619B"/>
    <w:rsid w:val="000563C8"/>
    <w:rsid w:val="00056B71"/>
    <w:rsid w:val="000571D7"/>
    <w:rsid w:val="000573E0"/>
    <w:rsid w:val="000579A8"/>
    <w:rsid w:val="00057BA5"/>
    <w:rsid w:val="0006061E"/>
    <w:rsid w:val="000609E6"/>
    <w:rsid w:val="00060DE7"/>
    <w:rsid w:val="00060E16"/>
    <w:rsid w:val="00060E68"/>
    <w:rsid w:val="00060E81"/>
    <w:rsid w:val="00061245"/>
    <w:rsid w:val="00061508"/>
    <w:rsid w:val="00061AFD"/>
    <w:rsid w:val="00062A7D"/>
    <w:rsid w:val="00063A1B"/>
    <w:rsid w:val="00064322"/>
    <w:rsid w:val="00064359"/>
    <w:rsid w:val="000643CA"/>
    <w:rsid w:val="00064F7C"/>
    <w:rsid w:val="000653DE"/>
    <w:rsid w:val="000653FC"/>
    <w:rsid w:val="000654B5"/>
    <w:rsid w:val="00065AD5"/>
    <w:rsid w:val="00065B9D"/>
    <w:rsid w:val="00066430"/>
    <w:rsid w:val="00066AC0"/>
    <w:rsid w:val="00066E7A"/>
    <w:rsid w:val="000673F4"/>
    <w:rsid w:val="000675B2"/>
    <w:rsid w:val="000675FF"/>
    <w:rsid w:val="00067A0E"/>
    <w:rsid w:val="00067A91"/>
    <w:rsid w:val="00070192"/>
    <w:rsid w:val="00070201"/>
    <w:rsid w:val="000702C9"/>
    <w:rsid w:val="000708DB"/>
    <w:rsid w:val="000708E6"/>
    <w:rsid w:val="000708EB"/>
    <w:rsid w:val="00071257"/>
    <w:rsid w:val="0007277E"/>
    <w:rsid w:val="00072EF6"/>
    <w:rsid w:val="000730C1"/>
    <w:rsid w:val="00073636"/>
    <w:rsid w:val="000738D7"/>
    <w:rsid w:val="00073B03"/>
    <w:rsid w:val="00073D0D"/>
    <w:rsid w:val="00074461"/>
    <w:rsid w:val="000750E1"/>
    <w:rsid w:val="000752A5"/>
    <w:rsid w:val="000752BC"/>
    <w:rsid w:val="000753A0"/>
    <w:rsid w:val="00075446"/>
    <w:rsid w:val="000755D0"/>
    <w:rsid w:val="00075751"/>
    <w:rsid w:val="00075BA3"/>
    <w:rsid w:val="0007660E"/>
    <w:rsid w:val="000768F3"/>
    <w:rsid w:val="00077203"/>
    <w:rsid w:val="00077A51"/>
    <w:rsid w:val="00077E16"/>
    <w:rsid w:val="00077E87"/>
    <w:rsid w:val="000802BD"/>
    <w:rsid w:val="0008052A"/>
    <w:rsid w:val="00080700"/>
    <w:rsid w:val="000808AE"/>
    <w:rsid w:val="00080990"/>
    <w:rsid w:val="00080A65"/>
    <w:rsid w:val="00080C7E"/>
    <w:rsid w:val="0008166E"/>
    <w:rsid w:val="00081679"/>
    <w:rsid w:val="00081A92"/>
    <w:rsid w:val="00081CBE"/>
    <w:rsid w:val="00081EE9"/>
    <w:rsid w:val="000820AA"/>
    <w:rsid w:val="0008252A"/>
    <w:rsid w:val="00082F29"/>
    <w:rsid w:val="000833F4"/>
    <w:rsid w:val="00083A97"/>
    <w:rsid w:val="00083CAC"/>
    <w:rsid w:val="00083D21"/>
    <w:rsid w:val="00083F15"/>
    <w:rsid w:val="000840DF"/>
    <w:rsid w:val="0008422F"/>
    <w:rsid w:val="00084306"/>
    <w:rsid w:val="00084AC1"/>
    <w:rsid w:val="00084BA7"/>
    <w:rsid w:val="00084E0A"/>
    <w:rsid w:val="00085097"/>
    <w:rsid w:val="0008510D"/>
    <w:rsid w:val="0008514F"/>
    <w:rsid w:val="00086193"/>
    <w:rsid w:val="00086391"/>
    <w:rsid w:val="000863AD"/>
    <w:rsid w:val="0008650D"/>
    <w:rsid w:val="00086B12"/>
    <w:rsid w:val="00087121"/>
    <w:rsid w:val="00087E3C"/>
    <w:rsid w:val="00090E05"/>
    <w:rsid w:val="00090F48"/>
    <w:rsid w:val="00090FAA"/>
    <w:rsid w:val="00091619"/>
    <w:rsid w:val="00091745"/>
    <w:rsid w:val="00091BCE"/>
    <w:rsid w:val="00091F5B"/>
    <w:rsid w:val="00092049"/>
    <w:rsid w:val="00092372"/>
    <w:rsid w:val="0009288B"/>
    <w:rsid w:val="00092C0D"/>
    <w:rsid w:val="00092E78"/>
    <w:rsid w:val="00093244"/>
    <w:rsid w:val="00093264"/>
    <w:rsid w:val="00093295"/>
    <w:rsid w:val="000937BA"/>
    <w:rsid w:val="00093AF5"/>
    <w:rsid w:val="00094367"/>
    <w:rsid w:val="0009473F"/>
    <w:rsid w:val="00094A91"/>
    <w:rsid w:val="00095212"/>
    <w:rsid w:val="00095926"/>
    <w:rsid w:val="00095CA1"/>
    <w:rsid w:val="00095FF2"/>
    <w:rsid w:val="000966E6"/>
    <w:rsid w:val="00096AE6"/>
    <w:rsid w:val="00096C8E"/>
    <w:rsid w:val="00096D42"/>
    <w:rsid w:val="000976E5"/>
    <w:rsid w:val="0009774D"/>
    <w:rsid w:val="00097A67"/>
    <w:rsid w:val="00097D10"/>
    <w:rsid w:val="000A00AB"/>
    <w:rsid w:val="000A0D26"/>
    <w:rsid w:val="000A0DD4"/>
    <w:rsid w:val="000A1379"/>
    <w:rsid w:val="000A1380"/>
    <w:rsid w:val="000A13EA"/>
    <w:rsid w:val="000A18FC"/>
    <w:rsid w:val="000A1AB9"/>
    <w:rsid w:val="000A1DA4"/>
    <w:rsid w:val="000A2930"/>
    <w:rsid w:val="000A2A39"/>
    <w:rsid w:val="000A33A4"/>
    <w:rsid w:val="000A34DE"/>
    <w:rsid w:val="000A3E70"/>
    <w:rsid w:val="000A4966"/>
    <w:rsid w:val="000A50B8"/>
    <w:rsid w:val="000A51EA"/>
    <w:rsid w:val="000A5682"/>
    <w:rsid w:val="000A5883"/>
    <w:rsid w:val="000A5A38"/>
    <w:rsid w:val="000A6885"/>
    <w:rsid w:val="000A6A4C"/>
    <w:rsid w:val="000A7448"/>
    <w:rsid w:val="000A74CD"/>
    <w:rsid w:val="000A75BD"/>
    <w:rsid w:val="000A7D64"/>
    <w:rsid w:val="000A7E8B"/>
    <w:rsid w:val="000B010D"/>
    <w:rsid w:val="000B0726"/>
    <w:rsid w:val="000B0E8F"/>
    <w:rsid w:val="000B0F4A"/>
    <w:rsid w:val="000B160C"/>
    <w:rsid w:val="000B1B65"/>
    <w:rsid w:val="000B1CC9"/>
    <w:rsid w:val="000B213A"/>
    <w:rsid w:val="000B31EE"/>
    <w:rsid w:val="000B35C9"/>
    <w:rsid w:val="000B3963"/>
    <w:rsid w:val="000B398C"/>
    <w:rsid w:val="000B4201"/>
    <w:rsid w:val="000B4281"/>
    <w:rsid w:val="000B4359"/>
    <w:rsid w:val="000B4511"/>
    <w:rsid w:val="000B473D"/>
    <w:rsid w:val="000B476C"/>
    <w:rsid w:val="000B4BF6"/>
    <w:rsid w:val="000B51D5"/>
    <w:rsid w:val="000B53E2"/>
    <w:rsid w:val="000B5947"/>
    <w:rsid w:val="000B5B8E"/>
    <w:rsid w:val="000B5C0A"/>
    <w:rsid w:val="000B5E3B"/>
    <w:rsid w:val="000B689E"/>
    <w:rsid w:val="000C027C"/>
    <w:rsid w:val="000C0818"/>
    <w:rsid w:val="000C108E"/>
    <w:rsid w:val="000C110E"/>
    <w:rsid w:val="000C17D3"/>
    <w:rsid w:val="000C1D33"/>
    <w:rsid w:val="000C20BD"/>
    <w:rsid w:val="000C223D"/>
    <w:rsid w:val="000C261D"/>
    <w:rsid w:val="000C27B0"/>
    <w:rsid w:val="000C30AC"/>
    <w:rsid w:val="000C3530"/>
    <w:rsid w:val="000C35CF"/>
    <w:rsid w:val="000C362B"/>
    <w:rsid w:val="000C36C0"/>
    <w:rsid w:val="000C4183"/>
    <w:rsid w:val="000C450D"/>
    <w:rsid w:val="000C4AB4"/>
    <w:rsid w:val="000C4AC6"/>
    <w:rsid w:val="000C525C"/>
    <w:rsid w:val="000C5348"/>
    <w:rsid w:val="000C57CA"/>
    <w:rsid w:val="000C5BE2"/>
    <w:rsid w:val="000C66BF"/>
    <w:rsid w:val="000C6C50"/>
    <w:rsid w:val="000C7023"/>
    <w:rsid w:val="000C73E1"/>
    <w:rsid w:val="000C777D"/>
    <w:rsid w:val="000C7B41"/>
    <w:rsid w:val="000C7E2F"/>
    <w:rsid w:val="000D01E6"/>
    <w:rsid w:val="000D0213"/>
    <w:rsid w:val="000D028E"/>
    <w:rsid w:val="000D0317"/>
    <w:rsid w:val="000D0553"/>
    <w:rsid w:val="000D08D9"/>
    <w:rsid w:val="000D0A55"/>
    <w:rsid w:val="000D0CD8"/>
    <w:rsid w:val="000D0EA7"/>
    <w:rsid w:val="000D0F5B"/>
    <w:rsid w:val="000D10B7"/>
    <w:rsid w:val="000D119D"/>
    <w:rsid w:val="000D14B1"/>
    <w:rsid w:val="000D1582"/>
    <w:rsid w:val="000D189B"/>
    <w:rsid w:val="000D1C2A"/>
    <w:rsid w:val="000D2077"/>
    <w:rsid w:val="000D20F9"/>
    <w:rsid w:val="000D2313"/>
    <w:rsid w:val="000D298B"/>
    <w:rsid w:val="000D2A1D"/>
    <w:rsid w:val="000D2B8D"/>
    <w:rsid w:val="000D326C"/>
    <w:rsid w:val="000D4013"/>
    <w:rsid w:val="000D4130"/>
    <w:rsid w:val="000D4189"/>
    <w:rsid w:val="000D426E"/>
    <w:rsid w:val="000D4657"/>
    <w:rsid w:val="000D4BFD"/>
    <w:rsid w:val="000D52DD"/>
    <w:rsid w:val="000D52F1"/>
    <w:rsid w:val="000D55ED"/>
    <w:rsid w:val="000D570D"/>
    <w:rsid w:val="000D58D6"/>
    <w:rsid w:val="000D6CA1"/>
    <w:rsid w:val="000D6F4D"/>
    <w:rsid w:val="000D74A9"/>
    <w:rsid w:val="000D7666"/>
    <w:rsid w:val="000D7BA6"/>
    <w:rsid w:val="000E02B4"/>
    <w:rsid w:val="000E052E"/>
    <w:rsid w:val="000E0744"/>
    <w:rsid w:val="000E07AB"/>
    <w:rsid w:val="000E1588"/>
    <w:rsid w:val="000E1803"/>
    <w:rsid w:val="000E1856"/>
    <w:rsid w:val="000E2573"/>
    <w:rsid w:val="000E29CA"/>
    <w:rsid w:val="000E2A1D"/>
    <w:rsid w:val="000E2DB5"/>
    <w:rsid w:val="000E2EDE"/>
    <w:rsid w:val="000E3304"/>
    <w:rsid w:val="000E3958"/>
    <w:rsid w:val="000E3A11"/>
    <w:rsid w:val="000E3CF5"/>
    <w:rsid w:val="000E3DD2"/>
    <w:rsid w:val="000E46E9"/>
    <w:rsid w:val="000E4831"/>
    <w:rsid w:val="000E4F10"/>
    <w:rsid w:val="000E512B"/>
    <w:rsid w:val="000E58D2"/>
    <w:rsid w:val="000E5D87"/>
    <w:rsid w:val="000E6138"/>
    <w:rsid w:val="000E6159"/>
    <w:rsid w:val="000E67E9"/>
    <w:rsid w:val="000E6A6B"/>
    <w:rsid w:val="000E7049"/>
    <w:rsid w:val="000E70F8"/>
    <w:rsid w:val="000E7317"/>
    <w:rsid w:val="000E7913"/>
    <w:rsid w:val="000EB7FF"/>
    <w:rsid w:val="000F08EC"/>
    <w:rsid w:val="000F1C37"/>
    <w:rsid w:val="000F1F18"/>
    <w:rsid w:val="000F1F3A"/>
    <w:rsid w:val="000F207C"/>
    <w:rsid w:val="000F2243"/>
    <w:rsid w:val="000F22E5"/>
    <w:rsid w:val="000F230B"/>
    <w:rsid w:val="000F2CB0"/>
    <w:rsid w:val="000F305A"/>
    <w:rsid w:val="000F3AE4"/>
    <w:rsid w:val="000F3B6C"/>
    <w:rsid w:val="000F4411"/>
    <w:rsid w:val="000F468B"/>
    <w:rsid w:val="000F4B55"/>
    <w:rsid w:val="000F504D"/>
    <w:rsid w:val="000F512B"/>
    <w:rsid w:val="000F5499"/>
    <w:rsid w:val="000F58D7"/>
    <w:rsid w:val="000F6686"/>
    <w:rsid w:val="000F6921"/>
    <w:rsid w:val="000F6BDC"/>
    <w:rsid w:val="000F6FBE"/>
    <w:rsid w:val="000F7014"/>
    <w:rsid w:val="000F70BA"/>
    <w:rsid w:val="000F71AD"/>
    <w:rsid w:val="000F71CF"/>
    <w:rsid w:val="000F77DD"/>
    <w:rsid w:val="000F7B60"/>
    <w:rsid w:val="0010013A"/>
    <w:rsid w:val="001002D5"/>
    <w:rsid w:val="001007B3"/>
    <w:rsid w:val="00100B8E"/>
    <w:rsid w:val="00100C77"/>
    <w:rsid w:val="00100D3D"/>
    <w:rsid w:val="00101085"/>
    <w:rsid w:val="001011C5"/>
    <w:rsid w:val="00101861"/>
    <w:rsid w:val="00101A89"/>
    <w:rsid w:val="00101B19"/>
    <w:rsid w:val="00102716"/>
    <w:rsid w:val="00102759"/>
    <w:rsid w:val="00102E19"/>
    <w:rsid w:val="00102FE6"/>
    <w:rsid w:val="00103635"/>
    <w:rsid w:val="001039B5"/>
    <w:rsid w:val="00103E85"/>
    <w:rsid w:val="001040FC"/>
    <w:rsid w:val="0010422D"/>
    <w:rsid w:val="00104B57"/>
    <w:rsid w:val="001053A2"/>
    <w:rsid w:val="0010574D"/>
    <w:rsid w:val="001058B3"/>
    <w:rsid w:val="00105C7F"/>
    <w:rsid w:val="00105D68"/>
    <w:rsid w:val="00105E3C"/>
    <w:rsid w:val="00105ED6"/>
    <w:rsid w:val="00106084"/>
    <w:rsid w:val="001062A8"/>
    <w:rsid w:val="001064F2"/>
    <w:rsid w:val="00106AD5"/>
    <w:rsid w:val="00106F24"/>
    <w:rsid w:val="00107019"/>
    <w:rsid w:val="0010712F"/>
    <w:rsid w:val="00107E81"/>
    <w:rsid w:val="001102D4"/>
    <w:rsid w:val="00110E8E"/>
    <w:rsid w:val="00110F64"/>
    <w:rsid w:val="00111217"/>
    <w:rsid w:val="00111366"/>
    <w:rsid w:val="00111F2B"/>
    <w:rsid w:val="0011201D"/>
    <w:rsid w:val="001123EC"/>
    <w:rsid w:val="0011294C"/>
    <w:rsid w:val="00112B10"/>
    <w:rsid w:val="00113405"/>
    <w:rsid w:val="00113B2E"/>
    <w:rsid w:val="00113B44"/>
    <w:rsid w:val="00113C1F"/>
    <w:rsid w:val="00113C8C"/>
    <w:rsid w:val="00113E93"/>
    <w:rsid w:val="0011538C"/>
    <w:rsid w:val="00115571"/>
    <w:rsid w:val="001156FB"/>
    <w:rsid w:val="00115D5D"/>
    <w:rsid w:val="00116ABC"/>
    <w:rsid w:val="00116DB6"/>
    <w:rsid w:val="00116F34"/>
    <w:rsid w:val="00117089"/>
    <w:rsid w:val="0011709A"/>
    <w:rsid w:val="001175F5"/>
    <w:rsid w:val="00117BB0"/>
    <w:rsid w:val="00117E1B"/>
    <w:rsid w:val="00117E57"/>
    <w:rsid w:val="00117EB0"/>
    <w:rsid w:val="00120241"/>
    <w:rsid w:val="00120472"/>
    <w:rsid w:val="00121E69"/>
    <w:rsid w:val="0012208C"/>
    <w:rsid w:val="00122323"/>
    <w:rsid w:val="001223BB"/>
    <w:rsid w:val="00122651"/>
    <w:rsid w:val="00122805"/>
    <w:rsid w:val="0012293B"/>
    <w:rsid w:val="00122A98"/>
    <w:rsid w:val="00122D2B"/>
    <w:rsid w:val="0012386A"/>
    <w:rsid w:val="00123A59"/>
    <w:rsid w:val="00123B0D"/>
    <w:rsid w:val="001240F8"/>
    <w:rsid w:val="00124423"/>
    <w:rsid w:val="001249BB"/>
    <w:rsid w:val="001250A9"/>
    <w:rsid w:val="00125848"/>
    <w:rsid w:val="00125919"/>
    <w:rsid w:val="00125D38"/>
    <w:rsid w:val="00126288"/>
    <w:rsid w:val="00126389"/>
    <w:rsid w:val="001263CD"/>
    <w:rsid w:val="00126631"/>
    <w:rsid w:val="00126C0F"/>
    <w:rsid w:val="00126CED"/>
    <w:rsid w:val="0012745F"/>
    <w:rsid w:val="001277EA"/>
    <w:rsid w:val="00127AF3"/>
    <w:rsid w:val="00127DC1"/>
    <w:rsid w:val="00130728"/>
    <w:rsid w:val="00130DD5"/>
    <w:rsid w:val="0013136B"/>
    <w:rsid w:val="0013208A"/>
    <w:rsid w:val="00132C96"/>
    <w:rsid w:val="00133737"/>
    <w:rsid w:val="00133817"/>
    <w:rsid w:val="001338CF"/>
    <w:rsid w:val="0013444C"/>
    <w:rsid w:val="0013497D"/>
    <w:rsid w:val="001349FF"/>
    <w:rsid w:val="00134B35"/>
    <w:rsid w:val="0013572D"/>
    <w:rsid w:val="00135A32"/>
    <w:rsid w:val="0013629A"/>
    <w:rsid w:val="00136360"/>
    <w:rsid w:val="00136830"/>
    <w:rsid w:val="0013698F"/>
    <w:rsid w:val="00136C18"/>
    <w:rsid w:val="00137159"/>
    <w:rsid w:val="001371DA"/>
    <w:rsid w:val="0013749C"/>
    <w:rsid w:val="001374C6"/>
    <w:rsid w:val="00137C82"/>
    <w:rsid w:val="00137D9E"/>
    <w:rsid w:val="00137E4C"/>
    <w:rsid w:val="00137F96"/>
    <w:rsid w:val="001400CA"/>
    <w:rsid w:val="001401BE"/>
    <w:rsid w:val="0014047F"/>
    <w:rsid w:val="00140B7F"/>
    <w:rsid w:val="00140CBE"/>
    <w:rsid w:val="0014111D"/>
    <w:rsid w:val="00141530"/>
    <w:rsid w:val="00141744"/>
    <w:rsid w:val="00141A30"/>
    <w:rsid w:val="00141D6B"/>
    <w:rsid w:val="00141F3E"/>
    <w:rsid w:val="001428F4"/>
    <w:rsid w:val="00142BE8"/>
    <w:rsid w:val="00143FD1"/>
    <w:rsid w:val="0014434F"/>
    <w:rsid w:val="0014482A"/>
    <w:rsid w:val="00144E16"/>
    <w:rsid w:val="00144ED2"/>
    <w:rsid w:val="00144F18"/>
    <w:rsid w:val="001455B8"/>
    <w:rsid w:val="001458A1"/>
    <w:rsid w:val="00145C4A"/>
    <w:rsid w:val="00145ED2"/>
    <w:rsid w:val="00145FAD"/>
    <w:rsid w:val="00146059"/>
    <w:rsid w:val="0014695C"/>
    <w:rsid w:val="00146AA0"/>
    <w:rsid w:val="00146E71"/>
    <w:rsid w:val="00147874"/>
    <w:rsid w:val="00147977"/>
    <w:rsid w:val="00147A03"/>
    <w:rsid w:val="00147B88"/>
    <w:rsid w:val="00147C0F"/>
    <w:rsid w:val="00147CF1"/>
    <w:rsid w:val="001500A2"/>
    <w:rsid w:val="001501DA"/>
    <w:rsid w:val="00150C87"/>
    <w:rsid w:val="001511E8"/>
    <w:rsid w:val="001515AF"/>
    <w:rsid w:val="00151C36"/>
    <w:rsid w:val="001521CC"/>
    <w:rsid w:val="00152947"/>
    <w:rsid w:val="00152FE7"/>
    <w:rsid w:val="0015377A"/>
    <w:rsid w:val="0015385F"/>
    <w:rsid w:val="00153956"/>
    <w:rsid w:val="0015396B"/>
    <w:rsid w:val="00154CCA"/>
    <w:rsid w:val="00155965"/>
    <w:rsid w:val="001559CD"/>
    <w:rsid w:val="00155D34"/>
    <w:rsid w:val="00155D94"/>
    <w:rsid w:val="00155E27"/>
    <w:rsid w:val="00156013"/>
    <w:rsid w:val="00156781"/>
    <w:rsid w:val="00156F31"/>
    <w:rsid w:val="00157366"/>
    <w:rsid w:val="00157732"/>
    <w:rsid w:val="00157D60"/>
    <w:rsid w:val="00160255"/>
    <w:rsid w:val="0016045E"/>
    <w:rsid w:val="001606A7"/>
    <w:rsid w:val="00160DFA"/>
    <w:rsid w:val="00160E8F"/>
    <w:rsid w:val="00161515"/>
    <w:rsid w:val="0016172C"/>
    <w:rsid w:val="001617A1"/>
    <w:rsid w:val="0016185C"/>
    <w:rsid w:val="00161A70"/>
    <w:rsid w:val="00161F05"/>
    <w:rsid w:val="001620E5"/>
    <w:rsid w:val="0016217E"/>
    <w:rsid w:val="001623D2"/>
    <w:rsid w:val="00162DB0"/>
    <w:rsid w:val="001630B7"/>
    <w:rsid w:val="001636FB"/>
    <w:rsid w:val="0016386A"/>
    <w:rsid w:val="00163BE4"/>
    <w:rsid w:val="00163DE1"/>
    <w:rsid w:val="00163E7F"/>
    <w:rsid w:val="00163F04"/>
    <w:rsid w:val="00164398"/>
    <w:rsid w:val="001645DB"/>
    <w:rsid w:val="0016460C"/>
    <w:rsid w:val="001649C7"/>
    <w:rsid w:val="00164C37"/>
    <w:rsid w:val="00164EB8"/>
    <w:rsid w:val="001650D0"/>
    <w:rsid w:val="00165280"/>
    <w:rsid w:val="00165321"/>
    <w:rsid w:val="0016547B"/>
    <w:rsid w:val="00165505"/>
    <w:rsid w:val="001657F7"/>
    <w:rsid w:val="00165A0C"/>
    <w:rsid w:val="00165E8E"/>
    <w:rsid w:val="00165F09"/>
    <w:rsid w:val="00165FF3"/>
    <w:rsid w:val="00166753"/>
    <w:rsid w:val="0016675C"/>
    <w:rsid w:val="001669D1"/>
    <w:rsid w:val="0016742E"/>
    <w:rsid w:val="001679DE"/>
    <w:rsid w:val="00167D1D"/>
    <w:rsid w:val="001703E6"/>
    <w:rsid w:val="001705D5"/>
    <w:rsid w:val="00170A10"/>
    <w:rsid w:val="00170EEE"/>
    <w:rsid w:val="00171B3B"/>
    <w:rsid w:val="0017242D"/>
    <w:rsid w:val="0017252D"/>
    <w:rsid w:val="00172D7B"/>
    <w:rsid w:val="001733DA"/>
    <w:rsid w:val="00173474"/>
    <w:rsid w:val="001739FA"/>
    <w:rsid w:val="00173A25"/>
    <w:rsid w:val="00173D01"/>
    <w:rsid w:val="00173D04"/>
    <w:rsid w:val="00173D52"/>
    <w:rsid w:val="00174114"/>
    <w:rsid w:val="001743DB"/>
    <w:rsid w:val="00174662"/>
    <w:rsid w:val="00174F03"/>
    <w:rsid w:val="00175107"/>
    <w:rsid w:val="00175257"/>
    <w:rsid w:val="001756FF"/>
    <w:rsid w:val="0017596E"/>
    <w:rsid w:val="00175D43"/>
    <w:rsid w:val="00175DEA"/>
    <w:rsid w:val="00175E3C"/>
    <w:rsid w:val="00175E43"/>
    <w:rsid w:val="00175F15"/>
    <w:rsid w:val="00176F74"/>
    <w:rsid w:val="001779DD"/>
    <w:rsid w:val="00177F67"/>
    <w:rsid w:val="0018011E"/>
    <w:rsid w:val="00180234"/>
    <w:rsid w:val="001808D6"/>
    <w:rsid w:val="00180928"/>
    <w:rsid w:val="00180FA6"/>
    <w:rsid w:val="0018101A"/>
    <w:rsid w:val="0018107C"/>
    <w:rsid w:val="001812FE"/>
    <w:rsid w:val="0018148E"/>
    <w:rsid w:val="0018192F"/>
    <w:rsid w:val="00181E67"/>
    <w:rsid w:val="00181E79"/>
    <w:rsid w:val="0018208F"/>
    <w:rsid w:val="0018229F"/>
    <w:rsid w:val="00182BD7"/>
    <w:rsid w:val="00182D44"/>
    <w:rsid w:val="00182EC2"/>
    <w:rsid w:val="0018351A"/>
    <w:rsid w:val="00183831"/>
    <w:rsid w:val="00183E5E"/>
    <w:rsid w:val="001840A1"/>
    <w:rsid w:val="001841F4"/>
    <w:rsid w:val="0018468C"/>
    <w:rsid w:val="001855A0"/>
    <w:rsid w:val="0018567E"/>
    <w:rsid w:val="001856D0"/>
    <w:rsid w:val="0018582A"/>
    <w:rsid w:val="0018597A"/>
    <w:rsid w:val="00185A91"/>
    <w:rsid w:val="00185F62"/>
    <w:rsid w:val="00186167"/>
    <w:rsid w:val="00186A18"/>
    <w:rsid w:val="00186B78"/>
    <w:rsid w:val="00186C0A"/>
    <w:rsid w:val="001872FA"/>
    <w:rsid w:val="0018779B"/>
    <w:rsid w:val="001878BE"/>
    <w:rsid w:val="001902F3"/>
    <w:rsid w:val="0019076C"/>
    <w:rsid w:val="00190779"/>
    <w:rsid w:val="00190EFD"/>
    <w:rsid w:val="00191201"/>
    <w:rsid w:val="001917B1"/>
    <w:rsid w:val="001918A7"/>
    <w:rsid w:val="00191BE1"/>
    <w:rsid w:val="00191D56"/>
    <w:rsid w:val="0019257B"/>
    <w:rsid w:val="001928BC"/>
    <w:rsid w:val="001928E4"/>
    <w:rsid w:val="001931E6"/>
    <w:rsid w:val="00193376"/>
    <w:rsid w:val="0019342D"/>
    <w:rsid w:val="0019351B"/>
    <w:rsid w:val="00193D29"/>
    <w:rsid w:val="00193F6E"/>
    <w:rsid w:val="00194032"/>
    <w:rsid w:val="001949D4"/>
    <w:rsid w:val="00194AAE"/>
    <w:rsid w:val="0019575F"/>
    <w:rsid w:val="00195A09"/>
    <w:rsid w:val="00196C40"/>
    <w:rsid w:val="00196FD5"/>
    <w:rsid w:val="00197410"/>
    <w:rsid w:val="001975BC"/>
    <w:rsid w:val="001975D9"/>
    <w:rsid w:val="001975EF"/>
    <w:rsid w:val="0019777E"/>
    <w:rsid w:val="00197A29"/>
    <w:rsid w:val="001A05DC"/>
    <w:rsid w:val="001A073A"/>
    <w:rsid w:val="001A0C45"/>
    <w:rsid w:val="001A0F1D"/>
    <w:rsid w:val="001A1738"/>
    <w:rsid w:val="001A1AD1"/>
    <w:rsid w:val="001A1BFD"/>
    <w:rsid w:val="001A1CE0"/>
    <w:rsid w:val="001A2685"/>
    <w:rsid w:val="001A2DB8"/>
    <w:rsid w:val="001A306C"/>
    <w:rsid w:val="001A33E4"/>
    <w:rsid w:val="001A3485"/>
    <w:rsid w:val="001A34C9"/>
    <w:rsid w:val="001A3552"/>
    <w:rsid w:val="001A382F"/>
    <w:rsid w:val="001A38FC"/>
    <w:rsid w:val="001A3F09"/>
    <w:rsid w:val="001A3F33"/>
    <w:rsid w:val="001A3F56"/>
    <w:rsid w:val="001A4672"/>
    <w:rsid w:val="001A47DB"/>
    <w:rsid w:val="001A4AAC"/>
    <w:rsid w:val="001A4C78"/>
    <w:rsid w:val="001A5858"/>
    <w:rsid w:val="001A5D61"/>
    <w:rsid w:val="001A61D4"/>
    <w:rsid w:val="001A6419"/>
    <w:rsid w:val="001A650C"/>
    <w:rsid w:val="001A68D9"/>
    <w:rsid w:val="001A6903"/>
    <w:rsid w:val="001A6A8A"/>
    <w:rsid w:val="001A7242"/>
    <w:rsid w:val="001A7CE1"/>
    <w:rsid w:val="001A7FB2"/>
    <w:rsid w:val="001B05F8"/>
    <w:rsid w:val="001B0657"/>
    <w:rsid w:val="001B0C04"/>
    <w:rsid w:val="001B0C6B"/>
    <w:rsid w:val="001B0DD3"/>
    <w:rsid w:val="001B1DE9"/>
    <w:rsid w:val="001B1F29"/>
    <w:rsid w:val="001B2288"/>
    <w:rsid w:val="001B2321"/>
    <w:rsid w:val="001B2390"/>
    <w:rsid w:val="001B245F"/>
    <w:rsid w:val="001B28DF"/>
    <w:rsid w:val="001B36D8"/>
    <w:rsid w:val="001B4497"/>
    <w:rsid w:val="001B45B2"/>
    <w:rsid w:val="001B4BEB"/>
    <w:rsid w:val="001B4D4E"/>
    <w:rsid w:val="001B52B6"/>
    <w:rsid w:val="001B534D"/>
    <w:rsid w:val="001B567C"/>
    <w:rsid w:val="001B5892"/>
    <w:rsid w:val="001B5E41"/>
    <w:rsid w:val="001B655A"/>
    <w:rsid w:val="001B6B56"/>
    <w:rsid w:val="001B6CF6"/>
    <w:rsid w:val="001B6DB6"/>
    <w:rsid w:val="001B74EF"/>
    <w:rsid w:val="001B75A4"/>
    <w:rsid w:val="001B7670"/>
    <w:rsid w:val="001B7953"/>
    <w:rsid w:val="001BECCD"/>
    <w:rsid w:val="001C00A3"/>
    <w:rsid w:val="001C02E1"/>
    <w:rsid w:val="001C06F9"/>
    <w:rsid w:val="001C0704"/>
    <w:rsid w:val="001C0872"/>
    <w:rsid w:val="001C0B86"/>
    <w:rsid w:val="001C0BA0"/>
    <w:rsid w:val="001C0E57"/>
    <w:rsid w:val="001C139A"/>
    <w:rsid w:val="001C173D"/>
    <w:rsid w:val="001C1A43"/>
    <w:rsid w:val="001C21E2"/>
    <w:rsid w:val="001C25FE"/>
    <w:rsid w:val="001C2F8B"/>
    <w:rsid w:val="001C335F"/>
    <w:rsid w:val="001C3390"/>
    <w:rsid w:val="001C3678"/>
    <w:rsid w:val="001C36BD"/>
    <w:rsid w:val="001C3886"/>
    <w:rsid w:val="001C3891"/>
    <w:rsid w:val="001C3D1B"/>
    <w:rsid w:val="001C3FFF"/>
    <w:rsid w:val="001C43CB"/>
    <w:rsid w:val="001C44BE"/>
    <w:rsid w:val="001C50CA"/>
    <w:rsid w:val="001C55A1"/>
    <w:rsid w:val="001C57E1"/>
    <w:rsid w:val="001C587D"/>
    <w:rsid w:val="001C59C9"/>
    <w:rsid w:val="001C6323"/>
    <w:rsid w:val="001C6C48"/>
    <w:rsid w:val="001C7203"/>
    <w:rsid w:val="001C7C3F"/>
    <w:rsid w:val="001C7ED6"/>
    <w:rsid w:val="001D0376"/>
    <w:rsid w:val="001D0809"/>
    <w:rsid w:val="001D087B"/>
    <w:rsid w:val="001D08A5"/>
    <w:rsid w:val="001D10E3"/>
    <w:rsid w:val="001D156C"/>
    <w:rsid w:val="001D1997"/>
    <w:rsid w:val="001D1C2D"/>
    <w:rsid w:val="001D1E97"/>
    <w:rsid w:val="001D2036"/>
    <w:rsid w:val="001D269A"/>
    <w:rsid w:val="001D2B85"/>
    <w:rsid w:val="001D2E1C"/>
    <w:rsid w:val="001D3F58"/>
    <w:rsid w:val="001D459E"/>
    <w:rsid w:val="001D4660"/>
    <w:rsid w:val="001D47A4"/>
    <w:rsid w:val="001D48B5"/>
    <w:rsid w:val="001D4C12"/>
    <w:rsid w:val="001D4DB0"/>
    <w:rsid w:val="001D5067"/>
    <w:rsid w:val="001D5662"/>
    <w:rsid w:val="001D594D"/>
    <w:rsid w:val="001D6384"/>
    <w:rsid w:val="001D6A35"/>
    <w:rsid w:val="001D6B6D"/>
    <w:rsid w:val="001D6B85"/>
    <w:rsid w:val="001D6D18"/>
    <w:rsid w:val="001D6DF3"/>
    <w:rsid w:val="001D770A"/>
    <w:rsid w:val="001D7FAA"/>
    <w:rsid w:val="001E0010"/>
    <w:rsid w:val="001E014C"/>
    <w:rsid w:val="001E0AB3"/>
    <w:rsid w:val="001E0F9D"/>
    <w:rsid w:val="001E128F"/>
    <w:rsid w:val="001E12FB"/>
    <w:rsid w:val="001E15C6"/>
    <w:rsid w:val="001E18CD"/>
    <w:rsid w:val="001E1C69"/>
    <w:rsid w:val="001E1F94"/>
    <w:rsid w:val="001E2044"/>
    <w:rsid w:val="001E2053"/>
    <w:rsid w:val="001E20AE"/>
    <w:rsid w:val="001E217F"/>
    <w:rsid w:val="001E2382"/>
    <w:rsid w:val="001E26BC"/>
    <w:rsid w:val="001E2995"/>
    <w:rsid w:val="001E2996"/>
    <w:rsid w:val="001E2A9C"/>
    <w:rsid w:val="001E3046"/>
    <w:rsid w:val="001E39C9"/>
    <w:rsid w:val="001E46FD"/>
    <w:rsid w:val="001E48EE"/>
    <w:rsid w:val="001E4A86"/>
    <w:rsid w:val="001E543F"/>
    <w:rsid w:val="001E564A"/>
    <w:rsid w:val="001E585F"/>
    <w:rsid w:val="001E58FF"/>
    <w:rsid w:val="001E5CA5"/>
    <w:rsid w:val="001E5E19"/>
    <w:rsid w:val="001E6139"/>
    <w:rsid w:val="001E6427"/>
    <w:rsid w:val="001E6D58"/>
    <w:rsid w:val="001E6F33"/>
    <w:rsid w:val="001E7C65"/>
    <w:rsid w:val="001F090A"/>
    <w:rsid w:val="001F0BE2"/>
    <w:rsid w:val="001F1430"/>
    <w:rsid w:val="001F1F31"/>
    <w:rsid w:val="001F1F98"/>
    <w:rsid w:val="001F2026"/>
    <w:rsid w:val="001F20A9"/>
    <w:rsid w:val="001F243D"/>
    <w:rsid w:val="001F29C4"/>
    <w:rsid w:val="001F2CAE"/>
    <w:rsid w:val="001F34E1"/>
    <w:rsid w:val="001F3906"/>
    <w:rsid w:val="001F3B59"/>
    <w:rsid w:val="001F40AC"/>
    <w:rsid w:val="001F4CED"/>
    <w:rsid w:val="001F4F1E"/>
    <w:rsid w:val="001F4FAD"/>
    <w:rsid w:val="001F5144"/>
    <w:rsid w:val="001F55C7"/>
    <w:rsid w:val="001F5815"/>
    <w:rsid w:val="001F5DC0"/>
    <w:rsid w:val="001F60BC"/>
    <w:rsid w:val="001F681B"/>
    <w:rsid w:val="001F6CFB"/>
    <w:rsid w:val="001F721E"/>
    <w:rsid w:val="001F7605"/>
    <w:rsid w:val="001F77EB"/>
    <w:rsid w:val="001F7A66"/>
    <w:rsid w:val="001F7BB6"/>
    <w:rsid w:val="00200187"/>
    <w:rsid w:val="00200891"/>
    <w:rsid w:val="00200BB4"/>
    <w:rsid w:val="0020180C"/>
    <w:rsid w:val="00201A66"/>
    <w:rsid w:val="002020D1"/>
    <w:rsid w:val="0020244F"/>
    <w:rsid w:val="00202590"/>
    <w:rsid w:val="0020293D"/>
    <w:rsid w:val="00202D03"/>
    <w:rsid w:val="00202EC8"/>
    <w:rsid w:val="00202F28"/>
    <w:rsid w:val="0020328A"/>
    <w:rsid w:val="00203DEE"/>
    <w:rsid w:val="00203E67"/>
    <w:rsid w:val="00204571"/>
    <w:rsid w:val="00204666"/>
    <w:rsid w:val="00204696"/>
    <w:rsid w:val="002049CD"/>
    <w:rsid w:val="00204A21"/>
    <w:rsid w:val="00204B21"/>
    <w:rsid w:val="00205011"/>
    <w:rsid w:val="00205287"/>
    <w:rsid w:val="00205324"/>
    <w:rsid w:val="002055B4"/>
    <w:rsid w:val="00205F57"/>
    <w:rsid w:val="00206117"/>
    <w:rsid w:val="002062FC"/>
    <w:rsid w:val="00206353"/>
    <w:rsid w:val="0020661A"/>
    <w:rsid w:val="002068BC"/>
    <w:rsid w:val="002068EC"/>
    <w:rsid w:val="00206BC3"/>
    <w:rsid w:val="002101C5"/>
    <w:rsid w:val="00210B10"/>
    <w:rsid w:val="00210F53"/>
    <w:rsid w:val="00211383"/>
    <w:rsid w:val="002118B9"/>
    <w:rsid w:val="00211A52"/>
    <w:rsid w:val="00211CF2"/>
    <w:rsid w:val="00211EB5"/>
    <w:rsid w:val="0021235C"/>
    <w:rsid w:val="00212527"/>
    <w:rsid w:val="00212569"/>
    <w:rsid w:val="00212BC5"/>
    <w:rsid w:val="00213251"/>
    <w:rsid w:val="002136E1"/>
    <w:rsid w:val="002138E0"/>
    <w:rsid w:val="00213A1E"/>
    <w:rsid w:val="00213B51"/>
    <w:rsid w:val="00213CE6"/>
    <w:rsid w:val="0021425E"/>
    <w:rsid w:val="0021504D"/>
    <w:rsid w:val="00215446"/>
    <w:rsid w:val="00215960"/>
    <w:rsid w:val="00215A4A"/>
    <w:rsid w:val="0021600B"/>
    <w:rsid w:val="002168A7"/>
    <w:rsid w:val="00216E13"/>
    <w:rsid w:val="0021703F"/>
    <w:rsid w:val="0021728B"/>
    <w:rsid w:val="002173FB"/>
    <w:rsid w:val="00217B7D"/>
    <w:rsid w:val="00217C15"/>
    <w:rsid w:val="00217E40"/>
    <w:rsid w:val="00217ECA"/>
    <w:rsid w:val="00220632"/>
    <w:rsid w:val="00220B16"/>
    <w:rsid w:val="00220E9F"/>
    <w:rsid w:val="00221E17"/>
    <w:rsid w:val="00221ECB"/>
    <w:rsid w:val="00222576"/>
    <w:rsid w:val="002228DD"/>
    <w:rsid w:val="002229BA"/>
    <w:rsid w:val="002234EE"/>
    <w:rsid w:val="00223533"/>
    <w:rsid w:val="002237FD"/>
    <w:rsid w:val="002238D7"/>
    <w:rsid w:val="00223A3A"/>
    <w:rsid w:val="00224139"/>
    <w:rsid w:val="00224453"/>
    <w:rsid w:val="00224CAF"/>
    <w:rsid w:val="00225312"/>
    <w:rsid w:val="0022586E"/>
    <w:rsid w:val="00225BEC"/>
    <w:rsid w:val="002260A8"/>
    <w:rsid w:val="002263F0"/>
    <w:rsid w:val="002265B0"/>
    <w:rsid w:val="00226A68"/>
    <w:rsid w:val="002271F4"/>
    <w:rsid w:val="002272D1"/>
    <w:rsid w:val="00227C1A"/>
    <w:rsid w:val="00227D28"/>
    <w:rsid w:val="00227D9A"/>
    <w:rsid w:val="0023038A"/>
    <w:rsid w:val="00230EF1"/>
    <w:rsid w:val="00231EA9"/>
    <w:rsid w:val="002326D4"/>
    <w:rsid w:val="00232EDB"/>
    <w:rsid w:val="002337ED"/>
    <w:rsid w:val="0023388F"/>
    <w:rsid w:val="0023404C"/>
    <w:rsid w:val="002359E5"/>
    <w:rsid w:val="00235BEB"/>
    <w:rsid w:val="0023676E"/>
    <w:rsid w:val="00236B31"/>
    <w:rsid w:val="00236DB2"/>
    <w:rsid w:val="00237181"/>
    <w:rsid w:val="00237333"/>
    <w:rsid w:val="0023733D"/>
    <w:rsid w:val="00237373"/>
    <w:rsid w:val="002374AE"/>
    <w:rsid w:val="002375D3"/>
    <w:rsid w:val="002378BC"/>
    <w:rsid w:val="0023795B"/>
    <w:rsid w:val="00237C34"/>
    <w:rsid w:val="00237D25"/>
    <w:rsid w:val="00240315"/>
    <w:rsid w:val="00240484"/>
    <w:rsid w:val="002406CB"/>
    <w:rsid w:val="00240F00"/>
    <w:rsid w:val="002412F5"/>
    <w:rsid w:val="002416B6"/>
    <w:rsid w:val="002416E3"/>
    <w:rsid w:val="00241D7D"/>
    <w:rsid w:val="00241E3C"/>
    <w:rsid w:val="0024202D"/>
    <w:rsid w:val="002420A3"/>
    <w:rsid w:val="00242928"/>
    <w:rsid w:val="00242B3F"/>
    <w:rsid w:val="002431DE"/>
    <w:rsid w:val="0024353C"/>
    <w:rsid w:val="002436EC"/>
    <w:rsid w:val="002438DF"/>
    <w:rsid w:val="00243C8D"/>
    <w:rsid w:val="00244D59"/>
    <w:rsid w:val="002452C0"/>
    <w:rsid w:val="002453D5"/>
    <w:rsid w:val="002464BE"/>
    <w:rsid w:val="00246C4D"/>
    <w:rsid w:val="00246DC9"/>
    <w:rsid w:val="002478C5"/>
    <w:rsid w:val="002479E3"/>
    <w:rsid w:val="00250111"/>
    <w:rsid w:val="002503A6"/>
    <w:rsid w:val="00250E2F"/>
    <w:rsid w:val="00251048"/>
    <w:rsid w:val="00251235"/>
    <w:rsid w:val="00251318"/>
    <w:rsid w:val="002515B6"/>
    <w:rsid w:val="00251F54"/>
    <w:rsid w:val="0025203D"/>
    <w:rsid w:val="00252402"/>
    <w:rsid w:val="00252447"/>
    <w:rsid w:val="002528AB"/>
    <w:rsid w:val="00252A19"/>
    <w:rsid w:val="00253856"/>
    <w:rsid w:val="00253DC8"/>
    <w:rsid w:val="00254535"/>
    <w:rsid w:val="00254862"/>
    <w:rsid w:val="00254A54"/>
    <w:rsid w:val="00254D3C"/>
    <w:rsid w:val="00254E08"/>
    <w:rsid w:val="00255296"/>
    <w:rsid w:val="002556A7"/>
    <w:rsid w:val="002557EF"/>
    <w:rsid w:val="00255AA7"/>
    <w:rsid w:val="00255D3B"/>
    <w:rsid w:val="002565A9"/>
    <w:rsid w:val="00256674"/>
    <w:rsid w:val="00256A8E"/>
    <w:rsid w:val="00256C71"/>
    <w:rsid w:val="00256EF5"/>
    <w:rsid w:val="00256F50"/>
    <w:rsid w:val="002573A8"/>
    <w:rsid w:val="002575CC"/>
    <w:rsid w:val="0025775B"/>
    <w:rsid w:val="00257EDA"/>
    <w:rsid w:val="00260154"/>
    <w:rsid w:val="00260F09"/>
    <w:rsid w:val="00260F5D"/>
    <w:rsid w:val="002615BC"/>
    <w:rsid w:val="00261B2B"/>
    <w:rsid w:val="0026228A"/>
    <w:rsid w:val="00262696"/>
    <w:rsid w:val="00262A6C"/>
    <w:rsid w:val="00262C18"/>
    <w:rsid w:val="00262DF1"/>
    <w:rsid w:val="00262E0A"/>
    <w:rsid w:val="00263282"/>
    <w:rsid w:val="00263BBA"/>
    <w:rsid w:val="00263DBF"/>
    <w:rsid w:val="00263F71"/>
    <w:rsid w:val="00263F9D"/>
    <w:rsid w:val="00264976"/>
    <w:rsid w:val="00264AE1"/>
    <w:rsid w:val="002650F0"/>
    <w:rsid w:val="00265F40"/>
    <w:rsid w:val="0026686C"/>
    <w:rsid w:val="00266A25"/>
    <w:rsid w:val="00267133"/>
    <w:rsid w:val="002672F3"/>
    <w:rsid w:val="00267422"/>
    <w:rsid w:val="00267582"/>
    <w:rsid w:val="00267CE6"/>
    <w:rsid w:val="00267E04"/>
    <w:rsid w:val="00267F2E"/>
    <w:rsid w:val="00270507"/>
    <w:rsid w:val="00271527"/>
    <w:rsid w:val="0027214C"/>
    <w:rsid w:val="002723CF"/>
    <w:rsid w:val="0027283D"/>
    <w:rsid w:val="00272F05"/>
    <w:rsid w:val="002731A0"/>
    <w:rsid w:val="00274327"/>
    <w:rsid w:val="00274650"/>
    <w:rsid w:val="00274A46"/>
    <w:rsid w:val="0027503D"/>
    <w:rsid w:val="00275159"/>
    <w:rsid w:val="00275196"/>
    <w:rsid w:val="0027533E"/>
    <w:rsid w:val="00275712"/>
    <w:rsid w:val="00275953"/>
    <w:rsid w:val="00275DA2"/>
    <w:rsid w:val="00275E12"/>
    <w:rsid w:val="002761C9"/>
    <w:rsid w:val="0027625E"/>
    <w:rsid w:val="0027686D"/>
    <w:rsid w:val="00276907"/>
    <w:rsid w:val="00276AC7"/>
    <w:rsid w:val="00276BCC"/>
    <w:rsid w:val="00276BF6"/>
    <w:rsid w:val="00277060"/>
    <w:rsid w:val="00277D6C"/>
    <w:rsid w:val="00280055"/>
    <w:rsid w:val="0028108A"/>
    <w:rsid w:val="0028125C"/>
    <w:rsid w:val="00281772"/>
    <w:rsid w:val="00281F71"/>
    <w:rsid w:val="00282605"/>
    <w:rsid w:val="00282CE0"/>
    <w:rsid w:val="00282DF3"/>
    <w:rsid w:val="00282E81"/>
    <w:rsid w:val="002834B5"/>
    <w:rsid w:val="0028361A"/>
    <w:rsid w:val="002836A1"/>
    <w:rsid w:val="002839C9"/>
    <w:rsid w:val="00283BA5"/>
    <w:rsid w:val="00283E43"/>
    <w:rsid w:val="00283F7D"/>
    <w:rsid w:val="00284F47"/>
    <w:rsid w:val="0028500F"/>
    <w:rsid w:val="00285E76"/>
    <w:rsid w:val="00286153"/>
    <w:rsid w:val="002865EF"/>
    <w:rsid w:val="002874F7"/>
    <w:rsid w:val="0028758A"/>
    <w:rsid w:val="00287AD9"/>
    <w:rsid w:val="00287D55"/>
    <w:rsid w:val="0029005B"/>
    <w:rsid w:val="002901EA"/>
    <w:rsid w:val="002905F1"/>
    <w:rsid w:val="00290E76"/>
    <w:rsid w:val="00291327"/>
    <w:rsid w:val="00291443"/>
    <w:rsid w:val="00291B15"/>
    <w:rsid w:val="00291C17"/>
    <w:rsid w:val="00291CA2"/>
    <w:rsid w:val="00291F74"/>
    <w:rsid w:val="00292783"/>
    <w:rsid w:val="002927DC"/>
    <w:rsid w:val="00292B8F"/>
    <w:rsid w:val="00292E04"/>
    <w:rsid w:val="00293897"/>
    <w:rsid w:val="002938B5"/>
    <w:rsid w:val="00293BCF"/>
    <w:rsid w:val="0029466E"/>
    <w:rsid w:val="0029492C"/>
    <w:rsid w:val="00294DD3"/>
    <w:rsid w:val="0029577A"/>
    <w:rsid w:val="002957E1"/>
    <w:rsid w:val="00295A5F"/>
    <w:rsid w:val="00296323"/>
    <w:rsid w:val="00297106"/>
    <w:rsid w:val="0029733E"/>
    <w:rsid w:val="00297B3F"/>
    <w:rsid w:val="00297E7B"/>
    <w:rsid w:val="002A0409"/>
    <w:rsid w:val="002A0940"/>
    <w:rsid w:val="002A0A24"/>
    <w:rsid w:val="002A0D8A"/>
    <w:rsid w:val="002A1749"/>
    <w:rsid w:val="002A1ED7"/>
    <w:rsid w:val="002A29CC"/>
    <w:rsid w:val="002A2D75"/>
    <w:rsid w:val="002A2E36"/>
    <w:rsid w:val="002A31BB"/>
    <w:rsid w:val="002A32DF"/>
    <w:rsid w:val="002A33AB"/>
    <w:rsid w:val="002A3707"/>
    <w:rsid w:val="002A391E"/>
    <w:rsid w:val="002A46BA"/>
    <w:rsid w:val="002A4C64"/>
    <w:rsid w:val="002A55C5"/>
    <w:rsid w:val="002A576C"/>
    <w:rsid w:val="002A5A19"/>
    <w:rsid w:val="002A5A31"/>
    <w:rsid w:val="002A60DB"/>
    <w:rsid w:val="002A6A8D"/>
    <w:rsid w:val="002A6C5F"/>
    <w:rsid w:val="002A7E41"/>
    <w:rsid w:val="002B0735"/>
    <w:rsid w:val="002B16DB"/>
    <w:rsid w:val="002B1791"/>
    <w:rsid w:val="002B196E"/>
    <w:rsid w:val="002B22FF"/>
    <w:rsid w:val="002B24E3"/>
    <w:rsid w:val="002B288B"/>
    <w:rsid w:val="002B2AFA"/>
    <w:rsid w:val="002B2CED"/>
    <w:rsid w:val="002B2E06"/>
    <w:rsid w:val="002B3549"/>
    <w:rsid w:val="002B3A14"/>
    <w:rsid w:val="002B3A99"/>
    <w:rsid w:val="002B3B14"/>
    <w:rsid w:val="002B3B86"/>
    <w:rsid w:val="002B3D4C"/>
    <w:rsid w:val="002B4541"/>
    <w:rsid w:val="002B4763"/>
    <w:rsid w:val="002B496B"/>
    <w:rsid w:val="002B4CD6"/>
    <w:rsid w:val="002B4CF4"/>
    <w:rsid w:val="002B50B3"/>
    <w:rsid w:val="002B5321"/>
    <w:rsid w:val="002B5548"/>
    <w:rsid w:val="002B6C2F"/>
    <w:rsid w:val="002B72DE"/>
    <w:rsid w:val="002B7C88"/>
    <w:rsid w:val="002C0388"/>
    <w:rsid w:val="002C04A1"/>
    <w:rsid w:val="002C06C7"/>
    <w:rsid w:val="002C0F68"/>
    <w:rsid w:val="002C12A0"/>
    <w:rsid w:val="002C1686"/>
    <w:rsid w:val="002C1A32"/>
    <w:rsid w:val="002C1CD8"/>
    <w:rsid w:val="002C1EED"/>
    <w:rsid w:val="002C248E"/>
    <w:rsid w:val="002C310B"/>
    <w:rsid w:val="002C3173"/>
    <w:rsid w:val="002C3499"/>
    <w:rsid w:val="002C39ED"/>
    <w:rsid w:val="002C3CF4"/>
    <w:rsid w:val="002C4F12"/>
    <w:rsid w:val="002C4F5B"/>
    <w:rsid w:val="002C5E9A"/>
    <w:rsid w:val="002C6620"/>
    <w:rsid w:val="002C67D8"/>
    <w:rsid w:val="002C703A"/>
    <w:rsid w:val="002C7C67"/>
    <w:rsid w:val="002D0862"/>
    <w:rsid w:val="002D162C"/>
    <w:rsid w:val="002D18B7"/>
    <w:rsid w:val="002D1AB1"/>
    <w:rsid w:val="002D24AC"/>
    <w:rsid w:val="002D2D1C"/>
    <w:rsid w:val="002D2F60"/>
    <w:rsid w:val="002D337D"/>
    <w:rsid w:val="002D3DB2"/>
    <w:rsid w:val="002D4781"/>
    <w:rsid w:val="002D4CB1"/>
    <w:rsid w:val="002D5369"/>
    <w:rsid w:val="002D53DF"/>
    <w:rsid w:val="002D5B0E"/>
    <w:rsid w:val="002D5C0C"/>
    <w:rsid w:val="002D607A"/>
    <w:rsid w:val="002D6205"/>
    <w:rsid w:val="002D700B"/>
    <w:rsid w:val="002D74CD"/>
    <w:rsid w:val="002D77E2"/>
    <w:rsid w:val="002D79EC"/>
    <w:rsid w:val="002D79F8"/>
    <w:rsid w:val="002D7C5B"/>
    <w:rsid w:val="002D7DAC"/>
    <w:rsid w:val="002D7E56"/>
    <w:rsid w:val="002D7E5F"/>
    <w:rsid w:val="002D7F81"/>
    <w:rsid w:val="002E0B55"/>
    <w:rsid w:val="002E0BF5"/>
    <w:rsid w:val="002E142F"/>
    <w:rsid w:val="002E1440"/>
    <w:rsid w:val="002E1B3B"/>
    <w:rsid w:val="002E1CC7"/>
    <w:rsid w:val="002E1D3D"/>
    <w:rsid w:val="002E2562"/>
    <w:rsid w:val="002E2679"/>
    <w:rsid w:val="002E26C0"/>
    <w:rsid w:val="002E26C2"/>
    <w:rsid w:val="002E2D8F"/>
    <w:rsid w:val="002E2FE5"/>
    <w:rsid w:val="002E331C"/>
    <w:rsid w:val="002E3A7F"/>
    <w:rsid w:val="002E3B68"/>
    <w:rsid w:val="002E3DD1"/>
    <w:rsid w:val="002E3E2A"/>
    <w:rsid w:val="002E4118"/>
    <w:rsid w:val="002E411C"/>
    <w:rsid w:val="002E4190"/>
    <w:rsid w:val="002E456F"/>
    <w:rsid w:val="002E4BD7"/>
    <w:rsid w:val="002E4E72"/>
    <w:rsid w:val="002E4ECE"/>
    <w:rsid w:val="002E4EF1"/>
    <w:rsid w:val="002E4F26"/>
    <w:rsid w:val="002E568F"/>
    <w:rsid w:val="002E6405"/>
    <w:rsid w:val="002E67F3"/>
    <w:rsid w:val="002E6991"/>
    <w:rsid w:val="002E6A3C"/>
    <w:rsid w:val="002E6CE8"/>
    <w:rsid w:val="002E6EC3"/>
    <w:rsid w:val="002E75DB"/>
    <w:rsid w:val="002E77E7"/>
    <w:rsid w:val="002E7950"/>
    <w:rsid w:val="002F01AF"/>
    <w:rsid w:val="002F02B8"/>
    <w:rsid w:val="002F0B93"/>
    <w:rsid w:val="002F0DE9"/>
    <w:rsid w:val="002F1283"/>
    <w:rsid w:val="002F1819"/>
    <w:rsid w:val="002F1B3B"/>
    <w:rsid w:val="002F1E92"/>
    <w:rsid w:val="002F246B"/>
    <w:rsid w:val="002F26D4"/>
    <w:rsid w:val="002F2B39"/>
    <w:rsid w:val="002F2C4F"/>
    <w:rsid w:val="002F3387"/>
    <w:rsid w:val="002F35E7"/>
    <w:rsid w:val="002F3822"/>
    <w:rsid w:val="002F38EE"/>
    <w:rsid w:val="002F4778"/>
    <w:rsid w:val="002F4CC8"/>
    <w:rsid w:val="002F4F1F"/>
    <w:rsid w:val="002F5372"/>
    <w:rsid w:val="002F56AC"/>
    <w:rsid w:val="002F63A2"/>
    <w:rsid w:val="002F6E54"/>
    <w:rsid w:val="002F730D"/>
    <w:rsid w:val="002F73BC"/>
    <w:rsid w:val="002F73F2"/>
    <w:rsid w:val="003003A8"/>
    <w:rsid w:val="00300419"/>
    <w:rsid w:val="00300A00"/>
    <w:rsid w:val="00300DBD"/>
    <w:rsid w:val="003010E1"/>
    <w:rsid w:val="00301161"/>
    <w:rsid w:val="00301377"/>
    <w:rsid w:val="00301408"/>
    <w:rsid w:val="00301439"/>
    <w:rsid w:val="00301463"/>
    <w:rsid w:val="00301502"/>
    <w:rsid w:val="0030163E"/>
    <w:rsid w:val="00301708"/>
    <w:rsid w:val="00301959"/>
    <w:rsid w:val="003019F4"/>
    <w:rsid w:val="00301CD3"/>
    <w:rsid w:val="0030218F"/>
    <w:rsid w:val="00302329"/>
    <w:rsid w:val="00302DDE"/>
    <w:rsid w:val="00303162"/>
    <w:rsid w:val="00303164"/>
    <w:rsid w:val="00303734"/>
    <w:rsid w:val="00303C7F"/>
    <w:rsid w:val="00303E8B"/>
    <w:rsid w:val="00303EB9"/>
    <w:rsid w:val="00304007"/>
    <w:rsid w:val="003042E3"/>
    <w:rsid w:val="003057B9"/>
    <w:rsid w:val="00306309"/>
    <w:rsid w:val="00306993"/>
    <w:rsid w:val="003074F2"/>
    <w:rsid w:val="003075D3"/>
    <w:rsid w:val="0030770E"/>
    <w:rsid w:val="00307805"/>
    <w:rsid w:val="00307D27"/>
    <w:rsid w:val="00310942"/>
    <w:rsid w:val="00310BB5"/>
    <w:rsid w:val="00310E0D"/>
    <w:rsid w:val="00310F23"/>
    <w:rsid w:val="00310F61"/>
    <w:rsid w:val="0031159E"/>
    <w:rsid w:val="003116D4"/>
    <w:rsid w:val="00311A72"/>
    <w:rsid w:val="003125E7"/>
    <w:rsid w:val="00312614"/>
    <w:rsid w:val="00313130"/>
    <w:rsid w:val="0031317C"/>
    <w:rsid w:val="00313913"/>
    <w:rsid w:val="00313A49"/>
    <w:rsid w:val="00313C40"/>
    <w:rsid w:val="00313FDF"/>
    <w:rsid w:val="003146BB"/>
    <w:rsid w:val="00314918"/>
    <w:rsid w:val="00314B3C"/>
    <w:rsid w:val="003152E3"/>
    <w:rsid w:val="0031536B"/>
    <w:rsid w:val="003157EB"/>
    <w:rsid w:val="003159F2"/>
    <w:rsid w:val="003163CE"/>
    <w:rsid w:val="003166A8"/>
    <w:rsid w:val="003168AB"/>
    <w:rsid w:val="003168F8"/>
    <w:rsid w:val="003174F5"/>
    <w:rsid w:val="00317906"/>
    <w:rsid w:val="0031796C"/>
    <w:rsid w:val="00317A97"/>
    <w:rsid w:val="00317DFA"/>
    <w:rsid w:val="00320A7B"/>
    <w:rsid w:val="00320F24"/>
    <w:rsid w:val="00321343"/>
    <w:rsid w:val="003217FE"/>
    <w:rsid w:val="00321AA0"/>
    <w:rsid w:val="00321C0E"/>
    <w:rsid w:val="00321E0D"/>
    <w:rsid w:val="0032213F"/>
    <w:rsid w:val="0032221B"/>
    <w:rsid w:val="00322289"/>
    <w:rsid w:val="00322572"/>
    <w:rsid w:val="003228A9"/>
    <w:rsid w:val="00322ACA"/>
    <w:rsid w:val="0032312C"/>
    <w:rsid w:val="003233C8"/>
    <w:rsid w:val="0032343E"/>
    <w:rsid w:val="003239D2"/>
    <w:rsid w:val="00323D8A"/>
    <w:rsid w:val="0032502A"/>
    <w:rsid w:val="0032502E"/>
    <w:rsid w:val="00325061"/>
    <w:rsid w:val="003253E9"/>
    <w:rsid w:val="003257AB"/>
    <w:rsid w:val="00326C39"/>
    <w:rsid w:val="00326D97"/>
    <w:rsid w:val="00326DCE"/>
    <w:rsid w:val="003271F7"/>
    <w:rsid w:val="0032768A"/>
    <w:rsid w:val="00330C4B"/>
    <w:rsid w:val="00330CD6"/>
    <w:rsid w:val="00330DE2"/>
    <w:rsid w:val="0033114D"/>
    <w:rsid w:val="00331152"/>
    <w:rsid w:val="00331518"/>
    <w:rsid w:val="003318ED"/>
    <w:rsid w:val="003319A3"/>
    <w:rsid w:val="003319AD"/>
    <w:rsid w:val="00331B4E"/>
    <w:rsid w:val="00331EFA"/>
    <w:rsid w:val="003320D7"/>
    <w:rsid w:val="0033248C"/>
    <w:rsid w:val="00332F9B"/>
    <w:rsid w:val="003330DF"/>
    <w:rsid w:val="00333889"/>
    <w:rsid w:val="00333ECF"/>
    <w:rsid w:val="00333F0C"/>
    <w:rsid w:val="00333F22"/>
    <w:rsid w:val="003342C3"/>
    <w:rsid w:val="0033434B"/>
    <w:rsid w:val="003349E5"/>
    <w:rsid w:val="00334F91"/>
    <w:rsid w:val="0033520A"/>
    <w:rsid w:val="003356BB"/>
    <w:rsid w:val="003357BD"/>
    <w:rsid w:val="00335D1B"/>
    <w:rsid w:val="00335E46"/>
    <w:rsid w:val="0033620E"/>
    <w:rsid w:val="003365CC"/>
    <w:rsid w:val="00336946"/>
    <w:rsid w:val="0033705A"/>
    <w:rsid w:val="003407A0"/>
    <w:rsid w:val="003408D7"/>
    <w:rsid w:val="00340C54"/>
    <w:rsid w:val="003416C5"/>
    <w:rsid w:val="00341A2C"/>
    <w:rsid w:val="00341C78"/>
    <w:rsid w:val="00341E3A"/>
    <w:rsid w:val="0034236C"/>
    <w:rsid w:val="003423E2"/>
    <w:rsid w:val="003427A9"/>
    <w:rsid w:val="00342D9E"/>
    <w:rsid w:val="0034317F"/>
    <w:rsid w:val="003439E6"/>
    <w:rsid w:val="00343F39"/>
    <w:rsid w:val="003440F7"/>
    <w:rsid w:val="0034434F"/>
    <w:rsid w:val="00344406"/>
    <w:rsid w:val="003444B3"/>
    <w:rsid w:val="003446D1"/>
    <w:rsid w:val="00344BFE"/>
    <w:rsid w:val="00346651"/>
    <w:rsid w:val="0034700B"/>
    <w:rsid w:val="003472AE"/>
    <w:rsid w:val="00347847"/>
    <w:rsid w:val="0034787A"/>
    <w:rsid w:val="003478BF"/>
    <w:rsid w:val="003478DD"/>
    <w:rsid w:val="00350013"/>
    <w:rsid w:val="00350349"/>
    <w:rsid w:val="00350456"/>
    <w:rsid w:val="00350920"/>
    <w:rsid w:val="00350EE9"/>
    <w:rsid w:val="003516D1"/>
    <w:rsid w:val="003517D5"/>
    <w:rsid w:val="003519CE"/>
    <w:rsid w:val="00351BBB"/>
    <w:rsid w:val="00351C7C"/>
    <w:rsid w:val="00351CCD"/>
    <w:rsid w:val="00351F78"/>
    <w:rsid w:val="0035211F"/>
    <w:rsid w:val="00352907"/>
    <w:rsid w:val="00352CAF"/>
    <w:rsid w:val="003532D5"/>
    <w:rsid w:val="00353499"/>
    <w:rsid w:val="00353633"/>
    <w:rsid w:val="00353EE7"/>
    <w:rsid w:val="003544FA"/>
    <w:rsid w:val="003545A1"/>
    <w:rsid w:val="00354A85"/>
    <w:rsid w:val="003551CF"/>
    <w:rsid w:val="00355323"/>
    <w:rsid w:val="00355B1B"/>
    <w:rsid w:val="00355B65"/>
    <w:rsid w:val="00356399"/>
    <w:rsid w:val="0035660B"/>
    <w:rsid w:val="00356EF9"/>
    <w:rsid w:val="00357628"/>
    <w:rsid w:val="00357648"/>
    <w:rsid w:val="003576F2"/>
    <w:rsid w:val="00357A32"/>
    <w:rsid w:val="00357D05"/>
    <w:rsid w:val="00360803"/>
    <w:rsid w:val="00360873"/>
    <w:rsid w:val="00360BA2"/>
    <w:rsid w:val="00360C3B"/>
    <w:rsid w:val="00360EAA"/>
    <w:rsid w:val="00360FEF"/>
    <w:rsid w:val="003611F4"/>
    <w:rsid w:val="003612B2"/>
    <w:rsid w:val="00361304"/>
    <w:rsid w:val="00361625"/>
    <w:rsid w:val="00361D58"/>
    <w:rsid w:val="00361D70"/>
    <w:rsid w:val="00361D7F"/>
    <w:rsid w:val="00361E13"/>
    <w:rsid w:val="00362500"/>
    <w:rsid w:val="0036279A"/>
    <w:rsid w:val="00362A0F"/>
    <w:rsid w:val="0036377C"/>
    <w:rsid w:val="00363869"/>
    <w:rsid w:val="00363A45"/>
    <w:rsid w:val="00363AF7"/>
    <w:rsid w:val="00364094"/>
    <w:rsid w:val="00364BC1"/>
    <w:rsid w:val="00364D3D"/>
    <w:rsid w:val="003652B3"/>
    <w:rsid w:val="003653D0"/>
    <w:rsid w:val="003654B6"/>
    <w:rsid w:val="003654CE"/>
    <w:rsid w:val="00365C71"/>
    <w:rsid w:val="00365FEA"/>
    <w:rsid w:val="0036612B"/>
    <w:rsid w:val="00367058"/>
    <w:rsid w:val="003670D0"/>
    <w:rsid w:val="0036710E"/>
    <w:rsid w:val="00367298"/>
    <w:rsid w:val="00367BA3"/>
    <w:rsid w:val="00367E99"/>
    <w:rsid w:val="003701BC"/>
    <w:rsid w:val="003703E1"/>
    <w:rsid w:val="00370576"/>
    <w:rsid w:val="00370C3C"/>
    <w:rsid w:val="00370D64"/>
    <w:rsid w:val="00370EA8"/>
    <w:rsid w:val="003718F8"/>
    <w:rsid w:val="00372B8F"/>
    <w:rsid w:val="00372C00"/>
    <w:rsid w:val="00372D6C"/>
    <w:rsid w:val="00373302"/>
    <w:rsid w:val="00373493"/>
    <w:rsid w:val="0037392D"/>
    <w:rsid w:val="00373A46"/>
    <w:rsid w:val="00373A72"/>
    <w:rsid w:val="00373BC8"/>
    <w:rsid w:val="00374B0A"/>
    <w:rsid w:val="00374DE1"/>
    <w:rsid w:val="003753E5"/>
    <w:rsid w:val="0037583C"/>
    <w:rsid w:val="00375AE6"/>
    <w:rsid w:val="00375B56"/>
    <w:rsid w:val="0037614E"/>
    <w:rsid w:val="00376B88"/>
    <w:rsid w:val="003770BE"/>
    <w:rsid w:val="003770C2"/>
    <w:rsid w:val="003771A5"/>
    <w:rsid w:val="00377C7D"/>
    <w:rsid w:val="00377D2A"/>
    <w:rsid w:val="00377DDE"/>
    <w:rsid w:val="00377E0A"/>
    <w:rsid w:val="003803B1"/>
    <w:rsid w:val="0038045F"/>
    <w:rsid w:val="00380B5C"/>
    <w:rsid w:val="00380D26"/>
    <w:rsid w:val="00381216"/>
    <w:rsid w:val="003815A6"/>
    <w:rsid w:val="003817C5"/>
    <w:rsid w:val="003819EB"/>
    <w:rsid w:val="00381AEB"/>
    <w:rsid w:val="00382039"/>
    <w:rsid w:val="0038292E"/>
    <w:rsid w:val="00382CD2"/>
    <w:rsid w:val="00382E4A"/>
    <w:rsid w:val="00382F0E"/>
    <w:rsid w:val="00382F8A"/>
    <w:rsid w:val="0038302B"/>
    <w:rsid w:val="00383885"/>
    <w:rsid w:val="00383B40"/>
    <w:rsid w:val="00383BD5"/>
    <w:rsid w:val="00383C99"/>
    <w:rsid w:val="00383E0C"/>
    <w:rsid w:val="00383F94"/>
    <w:rsid w:val="00384B19"/>
    <w:rsid w:val="00384BB5"/>
    <w:rsid w:val="00384D59"/>
    <w:rsid w:val="00384F63"/>
    <w:rsid w:val="0038522C"/>
    <w:rsid w:val="003852BC"/>
    <w:rsid w:val="003854F7"/>
    <w:rsid w:val="00385741"/>
    <w:rsid w:val="00385870"/>
    <w:rsid w:val="00385ABD"/>
    <w:rsid w:val="00386BCF"/>
    <w:rsid w:val="00386C68"/>
    <w:rsid w:val="00386EAD"/>
    <w:rsid w:val="003902DA"/>
    <w:rsid w:val="0039088C"/>
    <w:rsid w:val="003915BA"/>
    <w:rsid w:val="003918DA"/>
    <w:rsid w:val="00391A30"/>
    <w:rsid w:val="00391A75"/>
    <w:rsid w:val="00391B13"/>
    <w:rsid w:val="00392631"/>
    <w:rsid w:val="00392DD3"/>
    <w:rsid w:val="00393981"/>
    <w:rsid w:val="00393E1D"/>
    <w:rsid w:val="00393F6D"/>
    <w:rsid w:val="00394233"/>
    <w:rsid w:val="003943ED"/>
    <w:rsid w:val="00394764"/>
    <w:rsid w:val="00395260"/>
    <w:rsid w:val="0039536C"/>
    <w:rsid w:val="003954D1"/>
    <w:rsid w:val="00395C5B"/>
    <w:rsid w:val="00396B42"/>
    <w:rsid w:val="00396CC5"/>
    <w:rsid w:val="003973EB"/>
    <w:rsid w:val="003976B5"/>
    <w:rsid w:val="00397B2E"/>
    <w:rsid w:val="003A029B"/>
    <w:rsid w:val="003A068C"/>
    <w:rsid w:val="003A0A9C"/>
    <w:rsid w:val="003A0BC6"/>
    <w:rsid w:val="003A0D89"/>
    <w:rsid w:val="003A0EE4"/>
    <w:rsid w:val="003A170E"/>
    <w:rsid w:val="003A1744"/>
    <w:rsid w:val="003A20E8"/>
    <w:rsid w:val="003A210B"/>
    <w:rsid w:val="003A2E36"/>
    <w:rsid w:val="003A338B"/>
    <w:rsid w:val="003A3766"/>
    <w:rsid w:val="003A37A8"/>
    <w:rsid w:val="003A4377"/>
    <w:rsid w:val="003A4552"/>
    <w:rsid w:val="003A45CE"/>
    <w:rsid w:val="003A479D"/>
    <w:rsid w:val="003A494F"/>
    <w:rsid w:val="003A4DAE"/>
    <w:rsid w:val="003A4EE1"/>
    <w:rsid w:val="003A4F85"/>
    <w:rsid w:val="003A6174"/>
    <w:rsid w:val="003A6633"/>
    <w:rsid w:val="003A6B3D"/>
    <w:rsid w:val="003A6D56"/>
    <w:rsid w:val="003A6E72"/>
    <w:rsid w:val="003A7165"/>
    <w:rsid w:val="003A7A5D"/>
    <w:rsid w:val="003B0612"/>
    <w:rsid w:val="003B071F"/>
    <w:rsid w:val="003B0750"/>
    <w:rsid w:val="003B0A0B"/>
    <w:rsid w:val="003B0C8A"/>
    <w:rsid w:val="003B1306"/>
    <w:rsid w:val="003B17BD"/>
    <w:rsid w:val="003B1B85"/>
    <w:rsid w:val="003B1C44"/>
    <w:rsid w:val="003B20AF"/>
    <w:rsid w:val="003B216E"/>
    <w:rsid w:val="003B2D3C"/>
    <w:rsid w:val="003B2EAE"/>
    <w:rsid w:val="003B308F"/>
    <w:rsid w:val="003B318F"/>
    <w:rsid w:val="003B334F"/>
    <w:rsid w:val="003B3431"/>
    <w:rsid w:val="003B3BC9"/>
    <w:rsid w:val="003B40AF"/>
    <w:rsid w:val="003B5006"/>
    <w:rsid w:val="003B5458"/>
    <w:rsid w:val="003B547A"/>
    <w:rsid w:val="003B57DA"/>
    <w:rsid w:val="003B5E43"/>
    <w:rsid w:val="003B5EA9"/>
    <w:rsid w:val="003B68E6"/>
    <w:rsid w:val="003B6C62"/>
    <w:rsid w:val="003B6C7D"/>
    <w:rsid w:val="003B6CE1"/>
    <w:rsid w:val="003B76DF"/>
    <w:rsid w:val="003B782D"/>
    <w:rsid w:val="003B783E"/>
    <w:rsid w:val="003C0D85"/>
    <w:rsid w:val="003C10C0"/>
    <w:rsid w:val="003C1929"/>
    <w:rsid w:val="003C1E67"/>
    <w:rsid w:val="003C26EA"/>
    <w:rsid w:val="003C26EE"/>
    <w:rsid w:val="003C285A"/>
    <w:rsid w:val="003C28C7"/>
    <w:rsid w:val="003C2D50"/>
    <w:rsid w:val="003C3218"/>
    <w:rsid w:val="003C325E"/>
    <w:rsid w:val="003C372D"/>
    <w:rsid w:val="003C397A"/>
    <w:rsid w:val="003C439D"/>
    <w:rsid w:val="003C477F"/>
    <w:rsid w:val="003C4BD4"/>
    <w:rsid w:val="003C4ED3"/>
    <w:rsid w:val="003C5265"/>
    <w:rsid w:val="003C5FA5"/>
    <w:rsid w:val="003C6117"/>
    <w:rsid w:val="003C622F"/>
    <w:rsid w:val="003C62D3"/>
    <w:rsid w:val="003C6409"/>
    <w:rsid w:val="003C6EA0"/>
    <w:rsid w:val="003C704F"/>
    <w:rsid w:val="003C7544"/>
    <w:rsid w:val="003C7792"/>
    <w:rsid w:val="003C7C3E"/>
    <w:rsid w:val="003D0136"/>
    <w:rsid w:val="003D044A"/>
    <w:rsid w:val="003D0E3D"/>
    <w:rsid w:val="003D12A0"/>
    <w:rsid w:val="003D12F6"/>
    <w:rsid w:val="003D13D0"/>
    <w:rsid w:val="003D18A0"/>
    <w:rsid w:val="003D19BC"/>
    <w:rsid w:val="003D1CB3"/>
    <w:rsid w:val="003D1E6A"/>
    <w:rsid w:val="003D1ECB"/>
    <w:rsid w:val="003D2873"/>
    <w:rsid w:val="003D2977"/>
    <w:rsid w:val="003D29BD"/>
    <w:rsid w:val="003D2FCE"/>
    <w:rsid w:val="003D38B1"/>
    <w:rsid w:val="003D3F0D"/>
    <w:rsid w:val="003D4184"/>
    <w:rsid w:val="003D48CF"/>
    <w:rsid w:val="003D4F28"/>
    <w:rsid w:val="003D51CB"/>
    <w:rsid w:val="003D558C"/>
    <w:rsid w:val="003D601F"/>
    <w:rsid w:val="003D61C4"/>
    <w:rsid w:val="003D6694"/>
    <w:rsid w:val="003D678F"/>
    <w:rsid w:val="003D6A8F"/>
    <w:rsid w:val="003D6D4C"/>
    <w:rsid w:val="003D6D5A"/>
    <w:rsid w:val="003D701F"/>
    <w:rsid w:val="003D7987"/>
    <w:rsid w:val="003D7A62"/>
    <w:rsid w:val="003D7D30"/>
    <w:rsid w:val="003E0446"/>
    <w:rsid w:val="003E04F9"/>
    <w:rsid w:val="003E093F"/>
    <w:rsid w:val="003E0A08"/>
    <w:rsid w:val="003E0AD1"/>
    <w:rsid w:val="003E0BAF"/>
    <w:rsid w:val="003E0DBE"/>
    <w:rsid w:val="003E0E2D"/>
    <w:rsid w:val="003E14A7"/>
    <w:rsid w:val="003E14BE"/>
    <w:rsid w:val="003E15C0"/>
    <w:rsid w:val="003E2364"/>
    <w:rsid w:val="003E2573"/>
    <w:rsid w:val="003E2575"/>
    <w:rsid w:val="003E2DFD"/>
    <w:rsid w:val="003E2EC0"/>
    <w:rsid w:val="003E31A0"/>
    <w:rsid w:val="003E3E02"/>
    <w:rsid w:val="003E44A5"/>
    <w:rsid w:val="003E4688"/>
    <w:rsid w:val="003E4F8C"/>
    <w:rsid w:val="003E53D5"/>
    <w:rsid w:val="003E53E4"/>
    <w:rsid w:val="003E57E8"/>
    <w:rsid w:val="003E59E4"/>
    <w:rsid w:val="003E5C4F"/>
    <w:rsid w:val="003E613A"/>
    <w:rsid w:val="003E62CF"/>
    <w:rsid w:val="003E6359"/>
    <w:rsid w:val="003E68D0"/>
    <w:rsid w:val="003E6DD6"/>
    <w:rsid w:val="003E6F78"/>
    <w:rsid w:val="003E7611"/>
    <w:rsid w:val="003E7634"/>
    <w:rsid w:val="003F07B0"/>
    <w:rsid w:val="003F0AC3"/>
    <w:rsid w:val="003F1007"/>
    <w:rsid w:val="003F10B0"/>
    <w:rsid w:val="003F129F"/>
    <w:rsid w:val="003F1314"/>
    <w:rsid w:val="003F1DF1"/>
    <w:rsid w:val="003F1E1F"/>
    <w:rsid w:val="003F22AC"/>
    <w:rsid w:val="003F22F3"/>
    <w:rsid w:val="003F237D"/>
    <w:rsid w:val="003F24D4"/>
    <w:rsid w:val="003F2DD7"/>
    <w:rsid w:val="003F33CC"/>
    <w:rsid w:val="003F34C6"/>
    <w:rsid w:val="003F3742"/>
    <w:rsid w:val="003F3DDA"/>
    <w:rsid w:val="003F3FC6"/>
    <w:rsid w:val="003F44D0"/>
    <w:rsid w:val="003F4687"/>
    <w:rsid w:val="003F4B24"/>
    <w:rsid w:val="003F5168"/>
    <w:rsid w:val="003F5461"/>
    <w:rsid w:val="003F5599"/>
    <w:rsid w:val="003F5DB3"/>
    <w:rsid w:val="003F6122"/>
    <w:rsid w:val="003F61E5"/>
    <w:rsid w:val="003F631D"/>
    <w:rsid w:val="003F6921"/>
    <w:rsid w:val="003F6E8B"/>
    <w:rsid w:val="003F7F3C"/>
    <w:rsid w:val="0040001F"/>
    <w:rsid w:val="0040015C"/>
    <w:rsid w:val="004001B1"/>
    <w:rsid w:val="004006D1"/>
    <w:rsid w:val="00400A36"/>
    <w:rsid w:val="00400B48"/>
    <w:rsid w:val="0040122C"/>
    <w:rsid w:val="004014FE"/>
    <w:rsid w:val="0040161F"/>
    <w:rsid w:val="00401769"/>
    <w:rsid w:val="00401DAD"/>
    <w:rsid w:val="004021FF"/>
    <w:rsid w:val="004022AB"/>
    <w:rsid w:val="004029F9"/>
    <w:rsid w:val="00402ACA"/>
    <w:rsid w:val="00402BB4"/>
    <w:rsid w:val="00403495"/>
    <w:rsid w:val="0040357B"/>
    <w:rsid w:val="00403758"/>
    <w:rsid w:val="0040473C"/>
    <w:rsid w:val="0040491B"/>
    <w:rsid w:val="00404B5F"/>
    <w:rsid w:val="00405CFF"/>
    <w:rsid w:val="00405DC6"/>
    <w:rsid w:val="00406331"/>
    <w:rsid w:val="004067AE"/>
    <w:rsid w:val="00406B66"/>
    <w:rsid w:val="00406C20"/>
    <w:rsid w:val="00406C58"/>
    <w:rsid w:val="004070A0"/>
    <w:rsid w:val="004075B5"/>
    <w:rsid w:val="004077FD"/>
    <w:rsid w:val="00407866"/>
    <w:rsid w:val="00407D43"/>
    <w:rsid w:val="0041003F"/>
    <w:rsid w:val="004103C0"/>
    <w:rsid w:val="004103E6"/>
    <w:rsid w:val="00410453"/>
    <w:rsid w:val="00410B97"/>
    <w:rsid w:val="00410C23"/>
    <w:rsid w:val="00410CB2"/>
    <w:rsid w:val="00411444"/>
    <w:rsid w:val="00411D3B"/>
    <w:rsid w:val="00412259"/>
    <w:rsid w:val="00412388"/>
    <w:rsid w:val="0041283E"/>
    <w:rsid w:val="00412925"/>
    <w:rsid w:val="00412C32"/>
    <w:rsid w:val="00412F42"/>
    <w:rsid w:val="00412FD7"/>
    <w:rsid w:val="00413039"/>
    <w:rsid w:val="0041351F"/>
    <w:rsid w:val="00414182"/>
    <w:rsid w:val="004141A7"/>
    <w:rsid w:val="004141DC"/>
    <w:rsid w:val="0041443B"/>
    <w:rsid w:val="0041497B"/>
    <w:rsid w:val="00414A92"/>
    <w:rsid w:val="00414B25"/>
    <w:rsid w:val="00414D85"/>
    <w:rsid w:val="004152ED"/>
    <w:rsid w:val="00415630"/>
    <w:rsid w:val="004156BF"/>
    <w:rsid w:val="00415D0F"/>
    <w:rsid w:val="004160CF"/>
    <w:rsid w:val="00416B72"/>
    <w:rsid w:val="00416F26"/>
    <w:rsid w:val="0041742C"/>
    <w:rsid w:val="00417835"/>
    <w:rsid w:val="00417FE7"/>
    <w:rsid w:val="00420088"/>
    <w:rsid w:val="004201B4"/>
    <w:rsid w:val="00420990"/>
    <w:rsid w:val="00420AD4"/>
    <w:rsid w:val="00420C52"/>
    <w:rsid w:val="00420F48"/>
    <w:rsid w:val="004213B4"/>
    <w:rsid w:val="00421687"/>
    <w:rsid w:val="004216E0"/>
    <w:rsid w:val="00421766"/>
    <w:rsid w:val="00421B53"/>
    <w:rsid w:val="00421C83"/>
    <w:rsid w:val="00421D63"/>
    <w:rsid w:val="00422166"/>
    <w:rsid w:val="004221EE"/>
    <w:rsid w:val="0042398E"/>
    <w:rsid w:val="00423D3C"/>
    <w:rsid w:val="00423F87"/>
    <w:rsid w:val="004244F7"/>
    <w:rsid w:val="0042588A"/>
    <w:rsid w:val="0042598C"/>
    <w:rsid w:val="00425E18"/>
    <w:rsid w:val="00425F3E"/>
    <w:rsid w:val="00426055"/>
    <w:rsid w:val="004260BB"/>
    <w:rsid w:val="00426A8F"/>
    <w:rsid w:val="00426F2B"/>
    <w:rsid w:val="00426FF3"/>
    <w:rsid w:val="00427150"/>
    <w:rsid w:val="00427C81"/>
    <w:rsid w:val="00427CC0"/>
    <w:rsid w:val="00427CC5"/>
    <w:rsid w:val="00430261"/>
    <w:rsid w:val="0043078C"/>
    <w:rsid w:val="00430946"/>
    <w:rsid w:val="00430967"/>
    <w:rsid w:val="00430EC3"/>
    <w:rsid w:val="004310EC"/>
    <w:rsid w:val="00431153"/>
    <w:rsid w:val="004313ED"/>
    <w:rsid w:val="004319E7"/>
    <w:rsid w:val="00431AA5"/>
    <w:rsid w:val="00432C1A"/>
    <w:rsid w:val="00432EB4"/>
    <w:rsid w:val="00432EC5"/>
    <w:rsid w:val="004334D7"/>
    <w:rsid w:val="004336FA"/>
    <w:rsid w:val="004339BB"/>
    <w:rsid w:val="00433A10"/>
    <w:rsid w:val="00433C40"/>
    <w:rsid w:val="00433E89"/>
    <w:rsid w:val="004345A0"/>
    <w:rsid w:val="004346CA"/>
    <w:rsid w:val="004349EA"/>
    <w:rsid w:val="00434CB1"/>
    <w:rsid w:val="00435200"/>
    <w:rsid w:val="004352DA"/>
    <w:rsid w:val="00435483"/>
    <w:rsid w:val="004354D8"/>
    <w:rsid w:val="0043565C"/>
    <w:rsid w:val="004369CD"/>
    <w:rsid w:val="0043731C"/>
    <w:rsid w:val="004379E6"/>
    <w:rsid w:val="00440863"/>
    <w:rsid w:val="00440DEB"/>
    <w:rsid w:val="00441039"/>
    <w:rsid w:val="004413E3"/>
    <w:rsid w:val="004416CD"/>
    <w:rsid w:val="0044176A"/>
    <w:rsid w:val="00441B64"/>
    <w:rsid w:val="00441ED2"/>
    <w:rsid w:val="00442752"/>
    <w:rsid w:val="00443289"/>
    <w:rsid w:val="00443B8B"/>
    <w:rsid w:val="00443EDD"/>
    <w:rsid w:val="00444605"/>
    <w:rsid w:val="00444673"/>
    <w:rsid w:val="004448D5"/>
    <w:rsid w:val="004451FA"/>
    <w:rsid w:val="0044555F"/>
    <w:rsid w:val="00445BF3"/>
    <w:rsid w:val="00445D2B"/>
    <w:rsid w:val="0044622B"/>
    <w:rsid w:val="004470A1"/>
    <w:rsid w:val="004477CF"/>
    <w:rsid w:val="00447857"/>
    <w:rsid w:val="00447D3F"/>
    <w:rsid w:val="00447D8B"/>
    <w:rsid w:val="00451769"/>
    <w:rsid w:val="004517E0"/>
    <w:rsid w:val="00451977"/>
    <w:rsid w:val="0045209C"/>
    <w:rsid w:val="0045243D"/>
    <w:rsid w:val="004529C6"/>
    <w:rsid w:val="00452D57"/>
    <w:rsid w:val="00452F43"/>
    <w:rsid w:val="00453138"/>
    <w:rsid w:val="0045316D"/>
    <w:rsid w:val="004535BB"/>
    <w:rsid w:val="0045509A"/>
    <w:rsid w:val="00455205"/>
    <w:rsid w:val="00455764"/>
    <w:rsid w:val="00455BFE"/>
    <w:rsid w:val="00455F34"/>
    <w:rsid w:val="00456017"/>
    <w:rsid w:val="004561BE"/>
    <w:rsid w:val="0045655C"/>
    <w:rsid w:val="00456E90"/>
    <w:rsid w:val="00456EA3"/>
    <w:rsid w:val="004570DF"/>
    <w:rsid w:val="00457201"/>
    <w:rsid w:val="004574ED"/>
    <w:rsid w:val="0045784D"/>
    <w:rsid w:val="00457CE5"/>
    <w:rsid w:val="00457D9B"/>
    <w:rsid w:val="00460124"/>
    <w:rsid w:val="004601E7"/>
    <w:rsid w:val="0046041D"/>
    <w:rsid w:val="004609A8"/>
    <w:rsid w:val="00460A1C"/>
    <w:rsid w:val="00460B2B"/>
    <w:rsid w:val="00460B96"/>
    <w:rsid w:val="00460CD5"/>
    <w:rsid w:val="00460E57"/>
    <w:rsid w:val="00460F6A"/>
    <w:rsid w:val="004617A0"/>
    <w:rsid w:val="00461910"/>
    <w:rsid w:val="00461B13"/>
    <w:rsid w:val="00461B16"/>
    <w:rsid w:val="00461C01"/>
    <w:rsid w:val="00462342"/>
    <w:rsid w:val="00462AF1"/>
    <w:rsid w:val="00463AEE"/>
    <w:rsid w:val="00463C4A"/>
    <w:rsid w:val="00463CB7"/>
    <w:rsid w:val="00464536"/>
    <w:rsid w:val="00464578"/>
    <w:rsid w:val="004645EA"/>
    <w:rsid w:val="00464790"/>
    <w:rsid w:val="00464796"/>
    <w:rsid w:val="00464ADB"/>
    <w:rsid w:val="00464E13"/>
    <w:rsid w:val="00465362"/>
    <w:rsid w:val="004653D8"/>
    <w:rsid w:val="0046556D"/>
    <w:rsid w:val="004659EB"/>
    <w:rsid w:val="00466141"/>
    <w:rsid w:val="0046618F"/>
    <w:rsid w:val="00466B59"/>
    <w:rsid w:val="00466C69"/>
    <w:rsid w:val="00466F69"/>
    <w:rsid w:val="004673C6"/>
    <w:rsid w:val="00467402"/>
    <w:rsid w:val="00467B21"/>
    <w:rsid w:val="00467E06"/>
    <w:rsid w:val="00471131"/>
    <w:rsid w:val="00471574"/>
    <w:rsid w:val="00471E5D"/>
    <w:rsid w:val="00472360"/>
    <w:rsid w:val="0047236C"/>
    <w:rsid w:val="00472703"/>
    <w:rsid w:val="00472D06"/>
    <w:rsid w:val="00472D5C"/>
    <w:rsid w:val="00472DB5"/>
    <w:rsid w:val="00472E61"/>
    <w:rsid w:val="00472F03"/>
    <w:rsid w:val="00473B56"/>
    <w:rsid w:val="0047402F"/>
    <w:rsid w:val="004741A9"/>
    <w:rsid w:val="004741D0"/>
    <w:rsid w:val="0047420F"/>
    <w:rsid w:val="004744A0"/>
    <w:rsid w:val="00474841"/>
    <w:rsid w:val="00474909"/>
    <w:rsid w:val="00474CE2"/>
    <w:rsid w:val="0047516E"/>
    <w:rsid w:val="004752AA"/>
    <w:rsid w:val="004753D6"/>
    <w:rsid w:val="0047586A"/>
    <w:rsid w:val="004764A7"/>
    <w:rsid w:val="004765FE"/>
    <w:rsid w:val="00476632"/>
    <w:rsid w:val="0047729A"/>
    <w:rsid w:val="0047768B"/>
    <w:rsid w:val="004777D3"/>
    <w:rsid w:val="00477D27"/>
    <w:rsid w:val="0048057C"/>
    <w:rsid w:val="00480801"/>
    <w:rsid w:val="00481435"/>
    <w:rsid w:val="00481471"/>
    <w:rsid w:val="0048168C"/>
    <w:rsid w:val="0048182A"/>
    <w:rsid w:val="00481917"/>
    <w:rsid w:val="00481CF7"/>
    <w:rsid w:val="004820B3"/>
    <w:rsid w:val="00482A98"/>
    <w:rsid w:val="00482C82"/>
    <w:rsid w:val="00482DCF"/>
    <w:rsid w:val="00482EDF"/>
    <w:rsid w:val="00483237"/>
    <w:rsid w:val="0048335E"/>
    <w:rsid w:val="0048404B"/>
    <w:rsid w:val="0048448B"/>
    <w:rsid w:val="0048516D"/>
    <w:rsid w:val="00485340"/>
    <w:rsid w:val="0048535F"/>
    <w:rsid w:val="0048574A"/>
    <w:rsid w:val="004858FE"/>
    <w:rsid w:val="00486126"/>
    <w:rsid w:val="004861F2"/>
    <w:rsid w:val="00486903"/>
    <w:rsid w:val="00486BCA"/>
    <w:rsid w:val="00486C03"/>
    <w:rsid w:val="00486E0D"/>
    <w:rsid w:val="00486EDF"/>
    <w:rsid w:val="004872A1"/>
    <w:rsid w:val="00487C9E"/>
    <w:rsid w:val="00490358"/>
    <w:rsid w:val="0049039E"/>
    <w:rsid w:val="004903B2"/>
    <w:rsid w:val="00490489"/>
    <w:rsid w:val="00490AEC"/>
    <w:rsid w:val="004917BC"/>
    <w:rsid w:val="00491CEC"/>
    <w:rsid w:val="00491EC6"/>
    <w:rsid w:val="004928F4"/>
    <w:rsid w:val="00492C95"/>
    <w:rsid w:val="004931C2"/>
    <w:rsid w:val="004938E2"/>
    <w:rsid w:val="00493D66"/>
    <w:rsid w:val="00493E69"/>
    <w:rsid w:val="00493EF6"/>
    <w:rsid w:val="004948D4"/>
    <w:rsid w:val="00494AFC"/>
    <w:rsid w:val="00494C12"/>
    <w:rsid w:val="0049512B"/>
    <w:rsid w:val="00495CA9"/>
    <w:rsid w:val="00495EC3"/>
    <w:rsid w:val="004962A1"/>
    <w:rsid w:val="0049668B"/>
    <w:rsid w:val="00496812"/>
    <w:rsid w:val="00496DAA"/>
    <w:rsid w:val="00496F15"/>
    <w:rsid w:val="00497095"/>
    <w:rsid w:val="00497316"/>
    <w:rsid w:val="0049791C"/>
    <w:rsid w:val="004A03F3"/>
    <w:rsid w:val="004A04F9"/>
    <w:rsid w:val="004A070F"/>
    <w:rsid w:val="004A0F26"/>
    <w:rsid w:val="004A148A"/>
    <w:rsid w:val="004A1CE2"/>
    <w:rsid w:val="004A21CE"/>
    <w:rsid w:val="004A27B7"/>
    <w:rsid w:val="004A284E"/>
    <w:rsid w:val="004A290F"/>
    <w:rsid w:val="004A2E09"/>
    <w:rsid w:val="004A357E"/>
    <w:rsid w:val="004A363E"/>
    <w:rsid w:val="004A376F"/>
    <w:rsid w:val="004A3ACD"/>
    <w:rsid w:val="004A4696"/>
    <w:rsid w:val="004A46CA"/>
    <w:rsid w:val="004A5514"/>
    <w:rsid w:val="004A5B20"/>
    <w:rsid w:val="004A5EBC"/>
    <w:rsid w:val="004A66F3"/>
    <w:rsid w:val="004A6770"/>
    <w:rsid w:val="004A6A76"/>
    <w:rsid w:val="004A6B79"/>
    <w:rsid w:val="004A6C34"/>
    <w:rsid w:val="004A6E57"/>
    <w:rsid w:val="004A7870"/>
    <w:rsid w:val="004A7C01"/>
    <w:rsid w:val="004A7DDB"/>
    <w:rsid w:val="004B00F8"/>
    <w:rsid w:val="004B0444"/>
    <w:rsid w:val="004B066E"/>
    <w:rsid w:val="004B0856"/>
    <w:rsid w:val="004B0B2B"/>
    <w:rsid w:val="004B0D87"/>
    <w:rsid w:val="004B0E41"/>
    <w:rsid w:val="004B172B"/>
    <w:rsid w:val="004B1782"/>
    <w:rsid w:val="004B17EE"/>
    <w:rsid w:val="004B1B8F"/>
    <w:rsid w:val="004B1C7D"/>
    <w:rsid w:val="004B2D98"/>
    <w:rsid w:val="004B3704"/>
    <w:rsid w:val="004B3DBF"/>
    <w:rsid w:val="004B42C6"/>
    <w:rsid w:val="004B4338"/>
    <w:rsid w:val="004B4858"/>
    <w:rsid w:val="004B4EBE"/>
    <w:rsid w:val="004B4F7A"/>
    <w:rsid w:val="004B5004"/>
    <w:rsid w:val="004B52A8"/>
    <w:rsid w:val="004B61BE"/>
    <w:rsid w:val="004B6D6D"/>
    <w:rsid w:val="004B74FE"/>
    <w:rsid w:val="004B754E"/>
    <w:rsid w:val="004B75D8"/>
    <w:rsid w:val="004B78AD"/>
    <w:rsid w:val="004B7AE3"/>
    <w:rsid w:val="004B7CBE"/>
    <w:rsid w:val="004C0108"/>
    <w:rsid w:val="004C028A"/>
    <w:rsid w:val="004C02F9"/>
    <w:rsid w:val="004C0587"/>
    <w:rsid w:val="004C072C"/>
    <w:rsid w:val="004C0BE4"/>
    <w:rsid w:val="004C0DB1"/>
    <w:rsid w:val="004C0E53"/>
    <w:rsid w:val="004C0F45"/>
    <w:rsid w:val="004C1233"/>
    <w:rsid w:val="004C2466"/>
    <w:rsid w:val="004C2ACA"/>
    <w:rsid w:val="004C362E"/>
    <w:rsid w:val="004C3C2D"/>
    <w:rsid w:val="004C3C5E"/>
    <w:rsid w:val="004C40D3"/>
    <w:rsid w:val="004C4241"/>
    <w:rsid w:val="004C49BC"/>
    <w:rsid w:val="004C4A8C"/>
    <w:rsid w:val="004C50FD"/>
    <w:rsid w:val="004C53E5"/>
    <w:rsid w:val="004C5662"/>
    <w:rsid w:val="004C5906"/>
    <w:rsid w:val="004C59C5"/>
    <w:rsid w:val="004C5B0F"/>
    <w:rsid w:val="004C5D03"/>
    <w:rsid w:val="004C68D9"/>
    <w:rsid w:val="004C69AA"/>
    <w:rsid w:val="004C6CD4"/>
    <w:rsid w:val="004C6EB9"/>
    <w:rsid w:val="004C791D"/>
    <w:rsid w:val="004D0374"/>
    <w:rsid w:val="004D06BE"/>
    <w:rsid w:val="004D0906"/>
    <w:rsid w:val="004D0BE0"/>
    <w:rsid w:val="004D0C8A"/>
    <w:rsid w:val="004D10CC"/>
    <w:rsid w:val="004D1109"/>
    <w:rsid w:val="004D120E"/>
    <w:rsid w:val="004D13F9"/>
    <w:rsid w:val="004D15DD"/>
    <w:rsid w:val="004D2426"/>
    <w:rsid w:val="004D24AC"/>
    <w:rsid w:val="004D2699"/>
    <w:rsid w:val="004D2999"/>
    <w:rsid w:val="004D2B5D"/>
    <w:rsid w:val="004D2C39"/>
    <w:rsid w:val="004D318B"/>
    <w:rsid w:val="004D34E4"/>
    <w:rsid w:val="004D3AAA"/>
    <w:rsid w:val="004D3C9F"/>
    <w:rsid w:val="004D3E36"/>
    <w:rsid w:val="004D3FBD"/>
    <w:rsid w:val="004D489D"/>
    <w:rsid w:val="004D5165"/>
    <w:rsid w:val="004D5548"/>
    <w:rsid w:val="004D5626"/>
    <w:rsid w:val="004D591E"/>
    <w:rsid w:val="004D5C5C"/>
    <w:rsid w:val="004D63E1"/>
    <w:rsid w:val="004D6752"/>
    <w:rsid w:val="004D6BEF"/>
    <w:rsid w:val="004D6C4C"/>
    <w:rsid w:val="004D6CA9"/>
    <w:rsid w:val="004D6F48"/>
    <w:rsid w:val="004D7658"/>
    <w:rsid w:val="004D767A"/>
    <w:rsid w:val="004D76CC"/>
    <w:rsid w:val="004D7823"/>
    <w:rsid w:val="004D7869"/>
    <w:rsid w:val="004D7DA4"/>
    <w:rsid w:val="004E0051"/>
    <w:rsid w:val="004E0573"/>
    <w:rsid w:val="004E0723"/>
    <w:rsid w:val="004E08A9"/>
    <w:rsid w:val="004E0FC0"/>
    <w:rsid w:val="004E12BD"/>
    <w:rsid w:val="004E2162"/>
    <w:rsid w:val="004E2254"/>
    <w:rsid w:val="004E24AF"/>
    <w:rsid w:val="004E2884"/>
    <w:rsid w:val="004E29D3"/>
    <w:rsid w:val="004E2C4A"/>
    <w:rsid w:val="004E3077"/>
    <w:rsid w:val="004E331B"/>
    <w:rsid w:val="004E38DE"/>
    <w:rsid w:val="004E3C0C"/>
    <w:rsid w:val="004E48DD"/>
    <w:rsid w:val="004E5250"/>
    <w:rsid w:val="004E5CF9"/>
    <w:rsid w:val="004E5E13"/>
    <w:rsid w:val="004E6E21"/>
    <w:rsid w:val="004E70E7"/>
    <w:rsid w:val="004E76A1"/>
    <w:rsid w:val="004E7721"/>
    <w:rsid w:val="004F0C36"/>
    <w:rsid w:val="004F0CEA"/>
    <w:rsid w:val="004F0FF8"/>
    <w:rsid w:val="004F10C8"/>
    <w:rsid w:val="004F1273"/>
    <w:rsid w:val="004F14F4"/>
    <w:rsid w:val="004F1BEC"/>
    <w:rsid w:val="004F276B"/>
    <w:rsid w:val="004F2B3F"/>
    <w:rsid w:val="004F32EE"/>
    <w:rsid w:val="004F3713"/>
    <w:rsid w:val="004F3944"/>
    <w:rsid w:val="004F3B9F"/>
    <w:rsid w:val="004F3BC9"/>
    <w:rsid w:val="004F3C58"/>
    <w:rsid w:val="004F3D87"/>
    <w:rsid w:val="004F3FA3"/>
    <w:rsid w:val="004F4604"/>
    <w:rsid w:val="004F58B1"/>
    <w:rsid w:val="004F6068"/>
    <w:rsid w:val="004F61D1"/>
    <w:rsid w:val="004F62C3"/>
    <w:rsid w:val="004F6430"/>
    <w:rsid w:val="004F6803"/>
    <w:rsid w:val="004F6C22"/>
    <w:rsid w:val="004F6D9E"/>
    <w:rsid w:val="004F6EF3"/>
    <w:rsid w:val="004F75BA"/>
    <w:rsid w:val="004F7764"/>
    <w:rsid w:val="004F7C7F"/>
    <w:rsid w:val="0050001E"/>
    <w:rsid w:val="0050026D"/>
    <w:rsid w:val="005004A2"/>
    <w:rsid w:val="00500A8F"/>
    <w:rsid w:val="00500ACA"/>
    <w:rsid w:val="00500ECE"/>
    <w:rsid w:val="00501289"/>
    <w:rsid w:val="00501377"/>
    <w:rsid w:val="0050190A"/>
    <w:rsid w:val="00501B6F"/>
    <w:rsid w:val="00501DB1"/>
    <w:rsid w:val="00501E48"/>
    <w:rsid w:val="005024F4"/>
    <w:rsid w:val="005027F4"/>
    <w:rsid w:val="00502C05"/>
    <w:rsid w:val="00502F12"/>
    <w:rsid w:val="005039FA"/>
    <w:rsid w:val="00503ED3"/>
    <w:rsid w:val="00504339"/>
    <w:rsid w:val="005046B3"/>
    <w:rsid w:val="00505675"/>
    <w:rsid w:val="005068B8"/>
    <w:rsid w:val="00506BC1"/>
    <w:rsid w:val="00506C5F"/>
    <w:rsid w:val="00506DC1"/>
    <w:rsid w:val="00506E7A"/>
    <w:rsid w:val="005070C5"/>
    <w:rsid w:val="00507503"/>
    <w:rsid w:val="0050776D"/>
    <w:rsid w:val="005079DC"/>
    <w:rsid w:val="005101B2"/>
    <w:rsid w:val="0051049A"/>
    <w:rsid w:val="0051071A"/>
    <w:rsid w:val="00510878"/>
    <w:rsid w:val="005109F5"/>
    <w:rsid w:val="00510CF5"/>
    <w:rsid w:val="00511A83"/>
    <w:rsid w:val="00511D69"/>
    <w:rsid w:val="00511F33"/>
    <w:rsid w:val="005120E1"/>
    <w:rsid w:val="00512253"/>
    <w:rsid w:val="0051228F"/>
    <w:rsid w:val="00512362"/>
    <w:rsid w:val="00512528"/>
    <w:rsid w:val="00513CDE"/>
    <w:rsid w:val="00514109"/>
    <w:rsid w:val="005144E8"/>
    <w:rsid w:val="00514609"/>
    <w:rsid w:val="005146DD"/>
    <w:rsid w:val="00514774"/>
    <w:rsid w:val="005148C4"/>
    <w:rsid w:val="00514975"/>
    <w:rsid w:val="00514DDB"/>
    <w:rsid w:val="00514DE7"/>
    <w:rsid w:val="00514EC7"/>
    <w:rsid w:val="00515A65"/>
    <w:rsid w:val="00515B61"/>
    <w:rsid w:val="00516446"/>
    <w:rsid w:val="00516612"/>
    <w:rsid w:val="0051661D"/>
    <w:rsid w:val="00516B10"/>
    <w:rsid w:val="00517B73"/>
    <w:rsid w:val="00517BFB"/>
    <w:rsid w:val="00517C24"/>
    <w:rsid w:val="00517E65"/>
    <w:rsid w:val="005204D8"/>
    <w:rsid w:val="005209EC"/>
    <w:rsid w:val="00520B49"/>
    <w:rsid w:val="00520F8D"/>
    <w:rsid w:val="005215AC"/>
    <w:rsid w:val="00521978"/>
    <w:rsid w:val="005228FE"/>
    <w:rsid w:val="0052292D"/>
    <w:rsid w:val="00522AB3"/>
    <w:rsid w:val="0052327D"/>
    <w:rsid w:val="00523690"/>
    <w:rsid w:val="005239CE"/>
    <w:rsid w:val="00523DA0"/>
    <w:rsid w:val="00523FB3"/>
    <w:rsid w:val="00525275"/>
    <w:rsid w:val="00525516"/>
    <w:rsid w:val="00525766"/>
    <w:rsid w:val="005260CD"/>
    <w:rsid w:val="005269A7"/>
    <w:rsid w:val="00526B8A"/>
    <w:rsid w:val="00526BC5"/>
    <w:rsid w:val="00526C05"/>
    <w:rsid w:val="0052741C"/>
    <w:rsid w:val="005277C0"/>
    <w:rsid w:val="00527962"/>
    <w:rsid w:val="005302A9"/>
    <w:rsid w:val="005306CF"/>
    <w:rsid w:val="00530730"/>
    <w:rsid w:val="00530873"/>
    <w:rsid w:val="005308AC"/>
    <w:rsid w:val="00530B95"/>
    <w:rsid w:val="00530E01"/>
    <w:rsid w:val="00531CE8"/>
    <w:rsid w:val="00531FE5"/>
    <w:rsid w:val="005320C4"/>
    <w:rsid w:val="00532653"/>
    <w:rsid w:val="00532E0E"/>
    <w:rsid w:val="005332F7"/>
    <w:rsid w:val="00533530"/>
    <w:rsid w:val="00534162"/>
    <w:rsid w:val="00534512"/>
    <w:rsid w:val="005347AF"/>
    <w:rsid w:val="00534912"/>
    <w:rsid w:val="00534F05"/>
    <w:rsid w:val="00535294"/>
    <w:rsid w:val="00535433"/>
    <w:rsid w:val="00535460"/>
    <w:rsid w:val="0053553C"/>
    <w:rsid w:val="0053573D"/>
    <w:rsid w:val="00535E2E"/>
    <w:rsid w:val="00535E62"/>
    <w:rsid w:val="005361A4"/>
    <w:rsid w:val="0053678F"/>
    <w:rsid w:val="005369C1"/>
    <w:rsid w:val="00536A13"/>
    <w:rsid w:val="00536C5E"/>
    <w:rsid w:val="00537347"/>
    <w:rsid w:val="0053746F"/>
    <w:rsid w:val="00537A2B"/>
    <w:rsid w:val="00537FC1"/>
    <w:rsid w:val="0054007D"/>
    <w:rsid w:val="00540606"/>
    <w:rsid w:val="00540C26"/>
    <w:rsid w:val="00540D8C"/>
    <w:rsid w:val="00540EEF"/>
    <w:rsid w:val="005414E8"/>
    <w:rsid w:val="0054295E"/>
    <w:rsid w:val="00542E5C"/>
    <w:rsid w:val="005431DB"/>
    <w:rsid w:val="00543386"/>
    <w:rsid w:val="005433BE"/>
    <w:rsid w:val="0054347A"/>
    <w:rsid w:val="00543750"/>
    <w:rsid w:val="005438E8"/>
    <w:rsid w:val="0054392A"/>
    <w:rsid w:val="00543938"/>
    <w:rsid w:val="00544057"/>
    <w:rsid w:val="005440E4"/>
    <w:rsid w:val="00544391"/>
    <w:rsid w:val="00544C57"/>
    <w:rsid w:val="00544ECF"/>
    <w:rsid w:val="005455A0"/>
    <w:rsid w:val="005457A8"/>
    <w:rsid w:val="00545F5D"/>
    <w:rsid w:val="00546100"/>
    <w:rsid w:val="00546503"/>
    <w:rsid w:val="0054690C"/>
    <w:rsid w:val="00546956"/>
    <w:rsid w:val="00546B68"/>
    <w:rsid w:val="00546C13"/>
    <w:rsid w:val="00547580"/>
    <w:rsid w:val="00550181"/>
    <w:rsid w:val="005507FD"/>
    <w:rsid w:val="00550B7B"/>
    <w:rsid w:val="00550CD6"/>
    <w:rsid w:val="00551117"/>
    <w:rsid w:val="00551494"/>
    <w:rsid w:val="0055163B"/>
    <w:rsid w:val="0055304C"/>
    <w:rsid w:val="005530A5"/>
    <w:rsid w:val="00553D68"/>
    <w:rsid w:val="00554072"/>
    <w:rsid w:val="00554B0B"/>
    <w:rsid w:val="00554D64"/>
    <w:rsid w:val="00554E6A"/>
    <w:rsid w:val="00555245"/>
    <w:rsid w:val="00555CAB"/>
    <w:rsid w:val="00555D9A"/>
    <w:rsid w:val="005564EA"/>
    <w:rsid w:val="00556967"/>
    <w:rsid w:val="00556D0B"/>
    <w:rsid w:val="005572C5"/>
    <w:rsid w:val="0055732D"/>
    <w:rsid w:val="00557338"/>
    <w:rsid w:val="005577F3"/>
    <w:rsid w:val="00557BB1"/>
    <w:rsid w:val="00557D3D"/>
    <w:rsid w:val="00560520"/>
    <w:rsid w:val="00560613"/>
    <w:rsid w:val="0056061E"/>
    <w:rsid w:val="00561278"/>
    <w:rsid w:val="00561675"/>
    <w:rsid w:val="00561687"/>
    <w:rsid w:val="00561780"/>
    <w:rsid w:val="00561918"/>
    <w:rsid w:val="00561944"/>
    <w:rsid w:val="00561A97"/>
    <w:rsid w:val="00561B3D"/>
    <w:rsid w:val="0056288B"/>
    <w:rsid w:val="005629B5"/>
    <w:rsid w:val="0056388F"/>
    <w:rsid w:val="005638B9"/>
    <w:rsid w:val="00563BAA"/>
    <w:rsid w:val="00563CF2"/>
    <w:rsid w:val="00563F35"/>
    <w:rsid w:val="0056407A"/>
    <w:rsid w:val="005640E6"/>
    <w:rsid w:val="005641ED"/>
    <w:rsid w:val="00564D1D"/>
    <w:rsid w:val="00564EDA"/>
    <w:rsid w:val="00564FEA"/>
    <w:rsid w:val="00565237"/>
    <w:rsid w:val="0056586E"/>
    <w:rsid w:val="005659A0"/>
    <w:rsid w:val="00565D6A"/>
    <w:rsid w:val="00566211"/>
    <w:rsid w:val="00566A55"/>
    <w:rsid w:val="00566C22"/>
    <w:rsid w:val="00566D23"/>
    <w:rsid w:val="005670A0"/>
    <w:rsid w:val="0057016B"/>
    <w:rsid w:val="00570197"/>
    <w:rsid w:val="005701F7"/>
    <w:rsid w:val="0057043B"/>
    <w:rsid w:val="005705CF"/>
    <w:rsid w:val="00570A74"/>
    <w:rsid w:val="00570C0D"/>
    <w:rsid w:val="00570EEB"/>
    <w:rsid w:val="00571078"/>
    <w:rsid w:val="005712E0"/>
    <w:rsid w:val="00571BC6"/>
    <w:rsid w:val="00571D1E"/>
    <w:rsid w:val="00572464"/>
    <w:rsid w:val="005725AB"/>
    <w:rsid w:val="005728EE"/>
    <w:rsid w:val="005729B6"/>
    <w:rsid w:val="005729DD"/>
    <w:rsid w:val="0057338B"/>
    <w:rsid w:val="0057346F"/>
    <w:rsid w:val="00574221"/>
    <w:rsid w:val="0057469F"/>
    <w:rsid w:val="005748E4"/>
    <w:rsid w:val="005748F9"/>
    <w:rsid w:val="00574CC6"/>
    <w:rsid w:val="005752A4"/>
    <w:rsid w:val="005754D7"/>
    <w:rsid w:val="00575659"/>
    <w:rsid w:val="005756FD"/>
    <w:rsid w:val="00575910"/>
    <w:rsid w:val="00575F82"/>
    <w:rsid w:val="005760A4"/>
    <w:rsid w:val="005764FD"/>
    <w:rsid w:val="005765E3"/>
    <w:rsid w:val="005766FB"/>
    <w:rsid w:val="00577085"/>
    <w:rsid w:val="0057724B"/>
    <w:rsid w:val="005776FE"/>
    <w:rsid w:val="005777B3"/>
    <w:rsid w:val="00577CC3"/>
    <w:rsid w:val="00580DBF"/>
    <w:rsid w:val="0058115D"/>
    <w:rsid w:val="00581774"/>
    <w:rsid w:val="00581952"/>
    <w:rsid w:val="005819EC"/>
    <w:rsid w:val="00581F1F"/>
    <w:rsid w:val="0058217C"/>
    <w:rsid w:val="005821B3"/>
    <w:rsid w:val="005821B8"/>
    <w:rsid w:val="00582880"/>
    <w:rsid w:val="00582B29"/>
    <w:rsid w:val="00582F96"/>
    <w:rsid w:val="005831AD"/>
    <w:rsid w:val="00583BAD"/>
    <w:rsid w:val="00583E57"/>
    <w:rsid w:val="00583EEA"/>
    <w:rsid w:val="00583F90"/>
    <w:rsid w:val="00584191"/>
    <w:rsid w:val="00584269"/>
    <w:rsid w:val="0058445A"/>
    <w:rsid w:val="005849D5"/>
    <w:rsid w:val="00584C45"/>
    <w:rsid w:val="00585FCE"/>
    <w:rsid w:val="00586DB9"/>
    <w:rsid w:val="00586EC5"/>
    <w:rsid w:val="0058726F"/>
    <w:rsid w:val="0058769E"/>
    <w:rsid w:val="00587700"/>
    <w:rsid w:val="00587901"/>
    <w:rsid w:val="0058797E"/>
    <w:rsid w:val="00587CCB"/>
    <w:rsid w:val="00590D26"/>
    <w:rsid w:val="00591570"/>
    <w:rsid w:val="005916EE"/>
    <w:rsid w:val="0059211E"/>
    <w:rsid w:val="005921C0"/>
    <w:rsid w:val="005923D0"/>
    <w:rsid w:val="00592C15"/>
    <w:rsid w:val="005930CE"/>
    <w:rsid w:val="0059327F"/>
    <w:rsid w:val="005934B0"/>
    <w:rsid w:val="005936E7"/>
    <w:rsid w:val="00593B6B"/>
    <w:rsid w:val="005947A8"/>
    <w:rsid w:val="00595138"/>
    <w:rsid w:val="00595D28"/>
    <w:rsid w:val="0059693D"/>
    <w:rsid w:val="00596D0D"/>
    <w:rsid w:val="00597193"/>
    <w:rsid w:val="005973F3"/>
    <w:rsid w:val="00597954"/>
    <w:rsid w:val="005979D9"/>
    <w:rsid w:val="00597C6B"/>
    <w:rsid w:val="00597EC0"/>
    <w:rsid w:val="005A0960"/>
    <w:rsid w:val="005A11B3"/>
    <w:rsid w:val="005A144C"/>
    <w:rsid w:val="005A1571"/>
    <w:rsid w:val="005A1C14"/>
    <w:rsid w:val="005A1D55"/>
    <w:rsid w:val="005A1F64"/>
    <w:rsid w:val="005A2C99"/>
    <w:rsid w:val="005A2DC4"/>
    <w:rsid w:val="005A3502"/>
    <w:rsid w:val="005A3B00"/>
    <w:rsid w:val="005A3BBA"/>
    <w:rsid w:val="005A3F69"/>
    <w:rsid w:val="005A409A"/>
    <w:rsid w:val="005A441F"/>
    <w:rsid w:val="005A4490"/>
    <w:rsid w:val="005A47DB"/>
    <w:rsid w:val="005A4E21"/>
    <w:rsid w:val="005A4E91"/>
    <w:rsid w:val="005A548E"/>
    <w:rsid w:val="005A5E34"/>
    <w:rsid w:val="005A6F23"/>
    <w:rsid w:val="005A7094"/>
    <w:rsid w:val="005A75B1"/>
    <w:rsid w:val="005A7936"/>
    <w:rsid w:val="005A7C7B"/>
    <w:rsid w:val="005B0006"/>
    <w:rsid w:val="005B049D"/>
    <w:rsid w:val="005B09ED"/>
    <w:rsid w:val="005B0D94"/>
    <w:rsid w:val="005B0FF4"/>
    <w:rsid w:val="005B10D4"/>
    <w:rsid w:val="005B1CDC"/>
    <w:rsid w:val="005B1D07"/>
    <w:rsid w:val="005B27CA"/>
    <w:rsid w:val="005B27E4"/>
    <w:rsid w:val="005B29D4"/>
    <w:rsid w:val="005B2AB4"/>
    <w:rsid w:val="005B32EC"/>
    <w:rsid w:val="005B344E"/>
    <w:rsid w:val="005B3BD8"/>
    <w:rsid w:val="005B41E9"/>
    <w:rsid w:val="005B44C6"/>
    <w:rsid w:val="005B48CD"/>
    <w:rsid w:val="005B4B4E"/>
    <w:rsid w:val="005B4C4F"/>
    <w:rsid w:val="005B5290"/>
    <w:rsid w:val="005B5D64"/>
    <w:rsid w:val="005B60C6"/>
    <w:rsid w:val="005B61A4"/>
    <w:rsid w:val="005B6292"/>
    <w:rsid w:val="005B6809"/>
    <w:rsid w:val="005B68E7"/>
    <w:rsid w:val="005B69D7"/>
    <w:rsid w:val="005B6E07"/>
    <w:rsid w:val="005B6E45"/>
    <w:rsid w:val="005B6F26"/>
    <w:rsid w:val="005B70B1"/>
    <w:rsid w:val="005B70CE"/>
    <w:rsid w:val="005B7750"/>
    <w:rsid w:val="005B781A"/>
    <w:rsid w:val="005B78AA"/>
    <w:rsid w:val="005B799F"/>
    <w:rsid w:val="005C09F9"/>
    <w:rsid w:val="005C09FF"/>
    <w:rsid w:val="005C0AB8"/>
    <w:rsid w:val="005C0B69"/>
    <w:rsid w:val="005C1312"/>
    <w:rsid w:val="005C1526"/>
    <w:rsid w:val="005C19C4"/>
    <w:rsid w:val="005C1BCE"/>
    <w:rsid w:val="005C2280"/>
    <w:rsid w:val="005C24B3"/>
    <w:rsid w:val="005C29A1"/>
    <w:rsid w:val="005C2BEE"/>
    <w:rsid w:val="005C2BF1"/>
    <w:rsid w:val="005C30E0"/>
    <w:rsid w:val="005C322A"/>
    <w:rsid w:val="005C3C5B"/>
    <w:rsid w:val="005C444C"/>
    <w:rsid w:val="005C4566"/>
    <w:rsid w:val="005C4BBD"/>
    <w:rsid w:val="005C4CE8"/>
    <w:rsid w:val="005C4D28"/>
    <w:rsid w:val="005C4E8E"/>
    <w:rsid w:val="005C4E98"/>
    <w:rsid w:val="005C5D71"/>
    <w:rsid w:val="005C5DA5"/>
    <w:rsid w:val="005C6004"/>
    <w:rsid w:val="005C6D97"/>
    <w:rsid w:val="005C7311"/>
    <w:rsid w:val="005C7F9A"/>
    <w:rsid w:val="005D0028"/>
    <w:rsid w:val="005D027A"/>
    <w:rsid w:val="005D03F9"/>
    <w:rsid w:val="005D0819"/>
    <w:rsid w:val="005D0B54"/>
    <w:rsid w:val="005D0E38"/>
    <w:rsid w:val="005D0E92"/>
    <w:rsid w:val="005D0F8A"/>
    <w:rsid w:val="005D0FE4"/>
    <w:rsid w:val="005D10D8"/>
    <w:rsid w:val="005D1541"/>
    <w:rsid w:val="005D1F30"/>
    <w:rsid w:val="005D1F39"/>
    <w:rsid w:val="005D2159"/>
    <w:rsid w:val="005D2179"/>
    <w:rsid w:val="005D2261"/>
    <w:rsid w:val="005D2473"/>
    <w:rsid w:val="005D289D"/>
    <w:rsid w:val="005D2D2C"/>
    <w:rsid w:val="005D33BA"/>
    <w:rsid w:val="005D3F0A"/>
    <w:rsid w:val="005D3F30"/>
    <w:rsid w:val="005D42CE"/>
    <w:rsid w:val="005D47DB"/>
    <w:rsid w:val="005D47FE"/>
    <w:rsid w:val="005D48C6"/>
    <w:rsid w:val="005D4B0A"/>
    <w:rsid w:val="005D55AB"/>
    <w:rsid w:val="005D577E"/>
    <w:rsid w:val="005D57BF"/>
    <w:rsid w:val="005D5869"/>
    <w:rsid w:val="005D6147"/>
    <w:rsid w:val="005D615E"/>
    <w:rsid w:val="005D644C"/>
    <w:rsid w:val="005D66DB"/>
    <w:rsid w:val="005D6CB8"/>
    <w:rsid w:val="005D6E7B"/>
    <w:rsid w:val="005D6F49"/>
    <w:rsid w:val="005D71BE"/>
    <w:rsid w:val="005D7241"/>
    <w:rsid w:val="005D72A1"/>
    <w:rsid w:val="005D769E"/>
    <w:rsid w:val="005D7889"/>
    <w:rsid w:val="005E0162"/>
    <w:rsid w:val="005E0FA8"/>
    <w:rsid w:val="005E12B9"/>
    <w:rsid w:val="005E245D"/>
    <w:rsid w:val="005E2681"/>
    <w:rsid w:val="005E2741"/>
    <w:rsid w:val="005E2AFF"/>
    <w:rsid w:val="005E2B27"/>
    <w:rsid w:val="005E3DFE"/>
    <w:rsid w:val="005E3F9B"/>
    <w:rsid w:val="005E45D5"/>
    <w:rsid w:val="005E48CA"/>
    <w:rsid w:val="005E49B2"/>
    <w:rsid w:val="005E5217"/>
    <w:rsid w:val="005E5247"/>
    <w:rsid w:val="005E5454"/>
    <w:rsid w:val="005E5819"/>
    <w:rsid w:val="005E5A50"/>
    <w:rsid w:val="005E5E60"/>
    <w:rsid w:val="005E642E"/>
    <w:rsid w:val="005E645B"/>
    <w:rsid w:val="005E6936"/>
    <w:rsid w:val="005E6D51"/>
    <w:rsid w:val="005E727C"/>
    <w:rsid w:val="005E77F4"/>
    <w:rsid w:val="005F03A5"/>
    <w:rsid w:val="005F081A"/>
    <w:rsid w:val="005F0AF3"/>
    <w:rsid w:val="005F17EA"/>
    <w:rsid w:val="005F24CC"/>
    <w:rsid w:val="005F2824"/>
    <w:rsid w:val="005F2BF0"/>
    <w:rsid w:val="005F2BF4"/>
    <w:rsid w:val="005F399C"/>
    <w:rsid w:val="005F3D84"/>
    <w:rsid w:val="005F3EA3"/>
    <w:rsid w:val="005F4270"/>
    <w:rsid w:val="005F4AA3"/>
    <w:rsid w:val="005F4B9E"/>
    <w:rsid w:val="005F4CFD"/>
    <w:rsid w:val="005F51F3"/>
    <w:rsid w:val="005F55D1"/>
    <w:rsid w:val="005F56F9"/>
    <w:rsid w:val="005F631C"/>
    <w:rsid w:val="005F6784"/>
    <w:rsid w:val="005F6E25"/>
    <w:rsid w:val="005F6F41"/>
    <w:rsid w:val="005F7C69"/>
    <w:rsid w:val="00600CB0"/>
    <w:rsid w:val="00600EDF"/>
    <w:rsid w:val="00600EF6"/>
    <w:rsid w:val="00600F7E"/>
    <w:rsid w:val="006010A1"/>
    <w:rsid w:val="006012DF"/>
    <w:rsid w:val="00601C57"/>
    <w:rsid w:val="0060203C"/>
    <w:rsid w:val="00602178"/>
    <w:rsid w:val="006021FB"/>
    <w:rsid w:val="00602439"/>
    <w:rsid w:val="00602476"/>
    <w:rsid w:val="006024EF"/>
    <w:rsid w:val="00603598"/>
    <w:rsid w:val="006035E5"/>
    <w:rsid w:val="006035FC"/>
    <w:rsid w:val="00603CA3"/>
    <w:rsid w:val="00604243"/>
    <w:rsid w:val="006048DE"/>
    <w:rsid w:val="00604B8B"/>
    <w:rsid w:val="0060538A"/>
    <w:rsid w:val="00605A5B"/>
    <w:rsid w:val="00605F0C"/>
    <w:rsid w:val="00605F50"/>
    <w:rsid w:val="006062D6"/>
    <w:rsid w:val="006063D9"/>
    <w:rsid w:val="00606487"/>
    <w:rsid w:val="006064ED"/>
    <w:rsid w:val="00606901"/>
    <w:rsid w:val="00606C1A"/>
    <w:rsid w:val="00607539"/>
    <w:rsid w:val="0060754A"/>
    <w:rsid w:val="006075A4"/>
    <w:rsid w:val="00607762"/>
    <w:rsid w:val="00607883"/>
    <w:rsid w:val="00607A95"/>
    <w:rsid w:val="00607B01"/>
    <w:rsid w:val="00610066"/>
    <w:rsid w:val="0061009A"/>
    <w:rsid w:val="006101E7"/>
    <w:rsid w:val="006103B5"/>
    <w:rsid w:val="00610526"/>
    <w:rsid w:val="00610BE9"/>
    <w:rsid w:val="00610C5E"/>
    <w:rsid w:val="00611D5F"/>
    <w:rsid w:val="00611F24"/>
    <w:rsid w:val="00612476"/>
    <w:rsid w:val="00612B7C"/>
    <w:rsid w:val="00612C63"/>
    <w:rsid w:val="00612D59"/>
    <w:rsid w:val="00612F28"/>
    <w:rsid w:val="006137A2"/>
    <w:rsid w:val="00613FF3"/>
    <w:rsid w:val="006148D9"/>
    <w:rsid w:val="00614D2C"/>
    <w:rsid w:val="0061551B"/>
    <w:rsid w:val="00615831"/>
    <w:rsid w:val="00615BC2"/>
    <w:rsid w:val="00615D16"/>
    <w:rsid w:val="00615D66"/>
    <w:rsid w:val="00615F16"/>
    <w:rsid w:val="00615FA1"/>
    <w:rsid w:val="006160FB"/>
    <w:rsid w:val="00616101"/>
    <w:rsid w:val="006161FF"/>
    <w:rsid w:val="006167A2"/>
    <w:rsid w:val="00616FC5"/>
    <w:rsid w:val="00617041"/>
    <w:rsid w:val="0061738F"/>
    <w:rsid w:val="00617BD0"/>
    <w:rsid w:val="00617D38"/>
    <w:rsid w:val="0062030C"/>
    <w:rsid w:val="006206A4"/>
    <w:rsid w:val="00620869"/>
    <w:rsid w:val="00620D6A"/>
    <w:rsid w:val="00620F0D"/>
    <w:rsid w:val="00621339"/>
    <w:rsid w:val="006217B6"/>
    <w:rsid w:val="00622000"/>
    <w:rsid w:val="0062207C"/>
    <w:rsid w:val="0062251B"/>
    <w:rsid w:val="006225A4"/>
    <w:rsid w:val="006225B6"/>
    <w:rsid w:val="006226DF"/>
    <w:rsid w:val="00622C99"/>
    <w:rsid w:val="00622ECD"/>
    <w:rsid w:val="00622F16"/>
    <w:rsid w:val="00623202"/>
    <w:rsid w:val="00623637"/>
    <w:rsid w:val="00623951"/>
    <w:rsid w:val="00623A95"/>
    <w:rsid w:val="00624695"/>
    <w:rsid w:val="00624A30"/>
    <w:rsid w:val="00624A63"/>
    <w:rsid w:val="006250A8"/>
    <w:rsid w:val="00625BC5"/>
    <w:rsid w:val="00625C31"/>
    <w:rsid w:val="00625ECB"/>
    <w:rsid w:val="00626029"/>
    <w:rsid w:val="00626204"/>
    <w:rsid w:val="0062620F"/>
    <w:rsid w:val="006266A3"/>
    <w:rsid w:val="006269F2"/>
    <w:rsid w:val="00626CC6"/>
    <w:rsid w:val="00626CD7"/>
    <w:rsid w:val="006273D7"/>
    <w:rsid w:val="00627647"/>
    <w:rsid w:val="006277FA"/>
    <w:rsid w:val="00627D69"/>
    <w:rsid w:val="0063071D"/>
    <w:rsid w:val="00630961"/>
    <w:rsid w:val="00630C83"/>
    <w:rsid w:val="00630DB6"/>
    <w:rsid w:val="006319AA"/>
    <w:rsid w:val="00631C7C"/>
    <w:rsid w:val="00631F13"/>
    <w:rsid w:val="006322EE"/>
    <w:rsid w:val="00632884"/>
    <w:rsid w:val="006328DB"/>
    <w:rsid w:val="0063331A"/>
    <w:rsid w:val="006337BD"/>
    <w:rsid w:val="00633A5C"/>
    <w:rsid w:val="00634444"/>
    <w:rsid w:val="006344EE"/>
    <w:rsid w:val="00634870"/>
    <w:rsid w:val="006359AA"/>
    <w:rsid w:val="00635D5C"/>
    <w:rsid w:val="00635E03"/>
    <w:rsid w:val="00635FAD"/>
    <w:rsid w:val="00636182"/>
    <w:rsid w:val="006368DC"/>
    <w:rsid w:val="006368F3"/>
    <w:rsid w:val="006369F1"/>
    <w:rsid w:val="00637ABC"/>
    <w:rsid w:val="00637C4A"/>
    <w:rsid w:val="00637CA7"/>
    <w:rsid w:val="0064070C"/>
    <w:rsid w:val="00640896"/>
    <w:rsid w:val="00640990"/>
    <w:rsid w:val="00640E77"/>
    <w:rsid w:val="00641124"/>
    <w:rsid w:val="006413FF"/>
    <w:rsid w:val="00641ADA"/>
    <w:rsid w:val="00641D25"/>
    <w:rsid w:val="00641FB3"/>
    <w:rsid w:val="00642961"/>
    <w:rsid w:val="00642A18"/>
    <w:rsid w:val="00642ED1"/>
    <w:rsid w:val="006432C0"/>
    <w:rsid w:val="0064354F"/>
    <w:rsid w:val="006436CC"/>
    <w:rsid w:val="00643F6E"/>
    <w:rsid w:val="00645108"/>
    <w:rsid w:val="006451C4"/>
    <w:rsid w:val="00645650"/>
    <w:rsid w:val="006458DD"/>
    <w:rsid w:val="00646252"/>
    <w:rsid w:val="006469E2"/>
    <w:rsid w:val="00646BDD"/>
    <w:rsid w:val="00646D37"/>
    <w:rsid w:val="00646D83"/>
    <w:rsid w:val="00646EC7"/>
    <w:rsid w:val="00647096"/>
    <w:rsid w:val="006478D0"/>
    <w:rsid w:val="0064793C"/>
    <w:rsid w:val="00647A30"/>
    <w:rsid w:val="00647A7E"/>
    <w:rsid w:val="00647FD5"/>
    <w:rsid w:val="00650050"/>
    <w:rsid w:val="0065012D"/>
    <w:rsid w:val="00650220"/>
    <w:rsid w:val="006502ED"/>
    <w:rsid w:val="006506CB"/>
    <w:rsid w:val="006506D4"/>
    <w:rsid w:val="00650922"/>
    <w:rsid w:val="00650C44"/>
    <w:rsid w:val="00650C68"/>
    <w:rsid w:val="00650DC3"/>
    <w:rsid w:val="00650DE6"/>
    <w:rsid w:val="00650E7D"/>
    <w:rsid w:val="00650EB6"/>
    <w:rsid w:val="00651039"/>
    <w:rsid w:val="00651356"/>
    <w:rsid w:val="00651719"/>
    <w:rsid w:val="00651845"/>
    <w:rsid w:val="00651CA9"/>
    <w:rsid w:val="0065231B"/>
    <w:rsid w:val="00652382"/>
    <w:rsid w:val="0065260D"/>
    <w:rsid w:val="006535FB"/>
    <w:rsid w:val="00653675"/>
    <w:rsid w:val="006537FB"/>
    <w:rsid w:val="00653840"/>
    <w:rsid w:val="00653D38"/>
    <w:rsid w:val="00653F5F"/>
    <w:rsid w:val="006543FC"/>
    <w:rsid w:val="00654553"/>
    <w:rsid w:val="0065456A"/>
    <w:rsid w:val="00655289"/>
    <w:rsid w:val="006552A9"/>
    <w:rsid w:val="0065548F"/>
    <w:rsid w:val="006557E2"/>
    <w:rsid w:val="00655AB8"/>
    <w:rsid w:val="00655AC8"/>
    <w:rsid w:val="00655BDF"/>
    <w:rsid w:val="00655C88"/>
    <w:rsid w:val="00655C98"/>
    <w:rsid w:val="00655F47"/>
    <w:rsid w:val="0065636E"/>
    <w:rsid w:val="00656C8F"/>
    <w:rsid w:val="00656D6B"/>
    <w:rsid w:val="00657241"/>
    <w:rsid w:val="00657DCC"/>
    <w:rsid w:val="0066050C"/>
    <w:rsid w:val="006605E3"/>
    <w:rsid w:val="00660A42"/>
    <w:rsid w:val="00660ACA"/>
    <w:rsid w:val="00660D85"/>
    <w:rsid w:val="00661040"/>
    <w:rsid w:val="00661A49"/>
    <w:rsid w:val="00661ECB"/>
    <w:rsid w:val="00662278"/>
    <w:rsid w:val="006625DA"/>
    <w:rsid w:val="00662D65"/>
    <w:rsid w:val="00663222"/>
    <w:rsid w:val="006632FE"/>
    <w:rsid w:val="00663B6A"/>
    <w:rsid w:val="00663D69"/>
    <w:rsid w:val="00663EDC"/>
    <w:rsid w:val="00664671"/>
    <w:rsid w:val="0066476D"/>
    <w:rsid w:val="00664FF6"/>
    <w:rsid w:val="0066571E"/>
    <w:rsid w:val="00665A78"/>
    <w:rsid w:val="00665BB2"/>
    <w:rsid w:val="00665BD5"/>
    <w:rsid w:val="00665BDA"/>
    <w:rsid w:val="00665CE9"/>
    <w:rsid w:val="006660FC"/>
    <w:rsid w:val="006661BB"/>
    <w:rsid w:val="006662DE"/>
    <w:rsid w:val="0066670B"/>
    <w:rsid w:val="00666C27"/>
    <w:rsid w:val="0066748A"/>
    <w:rsid w:val="006677B2"/>
    <w:rsid w:val="006678D0"/>
    <w:rsid w:val="00667A32"/>
    <w:rsid w:val="00667AC9"/>
    <w:rsid w:val="00667B3D"/>
    <w:rsid w:val="00670221"/>
    <w:rsid w:val="006702DF"/>
    <w:rsid w:val="0067034B"/>
    <w:rsid w:val="00670456"/>
    <w:rsid w:val="0067080A"/>
    <w:rsid w:val="00670A58"/>
    <w:rsid w:val="00670AC5"/>
    <w:rsid w:val="00670EE9"/>
    <w:rsid w:val="00670F5C"/>
    <w:rsid w:val="00671F8E"/>
    <w:rsid w:val="0067205A"/>
    <w:rsid w:val="006721C5"/>
    <w:rsid w:val="00672472"/>
    <w:rsid w:val="0067330D"/>
    <w:rsid w:val="006734EF"/>
    <w:rsid w:val="0067395E"/>
    <w:rsid w:val="00673A21"/>
    <w:rsid w:val="00673B88"/>
    <w:rsid w:val="00673C1A"/>
    <w:rsid w:val="006741C4"/>
    <w:rsid w:val="00674812"/>
    <w:rsid w:val="00674A0E"/>
    <w:rsid w:val="006750A8"/>
    <w:rsid w:val="006752FB"/>
    <w:rsid w:val="006755AC"/>
    <w:rsid w:val="00675FDF"/>
    <w:rsid w:val="00676A1E"/>
    <w:rsid w:val="0067724B"/>
    <w:rsid w:val="00677256"/>
    <w:rsid w:val="0067762E"/>
    <w:rsid w:val="00677645"/>
    <w:rsid w:val="00677AD2"/>
    <w:rsid w:val="00677B00"/>
    <w:rsid w:val="006800B9"/>
    <w:rsid w:val="0068037D"/>
    <w:rsid w:val="00680A5D"/>
    <w:rsid w:val="00680ACA"/>
    <w:rsid w:val="00680C83"/>
    <w:rsid w:val="00681C4D"/>
    <w:rsid w:val="00681D5C"/>
    <w:rsid w:val="00681DAE"/>
    <w:rsid w:val="0068214E"/>
    <w:rsid w:val="00682470"/>
    <w:rsid w:val="006824B6"/>
    <w:rsid w:val="0068252C"/>
    <w:rsid w:val="006829A8"/>
    <w:rsid w:val="00682E7D"/>
    <w:rsid w:val="00682F23"/>
    <w:rsid w:val="00682FC4"/>
    <w:rsid w:val="00683007"/>
    <w:rsid w:val="00683698"/>
    <w:rsid w:val="00683D03"/>
    <w:rsid w:val="00683DDA"/>
    <w:rsid w:val="00683EF2"/>
    <w:rsid w:val="00683F2D"/>
    <w:rsid w:val="00684983"/>
    <w:rsid w:val="006849E9"/>
    <w:rsid w:val="00684A0D"/>
    <w:rsid w:val="00684AA6"/>
    <w:rsid w:val="0068538E"/>
    <w:rsid w:val="00685916"/>
    <w:rsid w:val="006860FB"/>
    <w:rsid w:val="0068636C"/>
    <w:rsid w:val="006865E7"/>
    <w:rsid w:val="0068664B"/>
    <w:rsid w:val="00686AF7"/>
    <w:rsid w:val="00687866"/>
    <w:rsid w:val="00687B08"/>
    <w:rsid w:val="00687F23"/>
    <w:rsid w:val="006901EC"/>
    <w:rsid w:val="006902BA"/>
    <w:rsid w:val="00690A36"/>
    <w:rsid w:val="00690E67"/>
    <w:rsid w:val="00691051"/>
    <w:rsid w:val="0069127F"/>
    <w:rsid w:val="0069161F"/>
    <w:rsid w:val="006916AD"/>
    <w:rsid w:val="0069180B"/>
    <w:rsid w:val="00691D5B"/>
    <w:rsid w:val="00691DB1"/>
    <w:rsid w:val="00692313"/>
    <w:rsid w:val="006924D9"/>
    <w:rsid w:val="006926FB"/>
    <w:rsid w:val="00692E1D"/>
    <w:rsid w:val="00692F31"/>
    <w:rsid w:val="00692F98"/>
    <w:rsid w:val="00693554"/>
    <w:rsid w:val="00693E10"/>
    <w:rsid w:val="006945FD"/>
    <w:rsid w:val="006946F3"/>
    <w:rsid w:val="00694870"/>
    <w:rsid w:val="00694999"/>
    <w:rsid w:val="00694A21"/>
    <w:rsid w:val="00694E12"/>
    <w:rsid w:val="00695477"/>
    <w:rsid w:val="006954C9"/>
    <w:rsid w:val="0069553C"/>
    <w:rsid w:val="006956B9"/>
    <w:rsid w:val="00695F62"/>
    <w:rsid w:val="006968E1"/>
    <w:rsid w:val="006969AA"/>
    <w:rsid w:val="00696D5B"/>
    <w:rsid w:val="00696F5F"/>
    <w:rsid w:val="00696FE3"/>
    <w:rsid w:val="00697523"/>
    <w:rsid w:val="006977C2"/>
    <w:rsid w:val="006977DB"/>
    <w:rsid w:val="00697C9D"/>
    <w:rsid w:val="006A0D44"/>
    <w:rsid w:val="006A0FB1"/>
    <w:rsid w:val="006A11A7"/>
    <w:rsid w:val="006A13CA"/>
    <w:rsid w:val="006A176B"/>
    <w:rsid w:val="006A18E5"/>
    <w:rsid w:val="006A1D94"/>
    <w:rsid w:val="006A21B0"/>
    <w:rsid w:val="006A2257"/>
    <w:rsid w:val="006A28A0"/>
    <w:rsid w:val="006A303E"/>
    <w:rsid w:val="006A30C6"/>
    <w:rsid w:val="006A334D"/>
    <w:rsid w:val="006A36B5"/>
    <w:rsid w:val="006A3976"/>
    <w:rsid w:val="006A401E"/>
    <w:rsid w:val="006A40C3"/>
    <w:rsid w:val="006A480A"/>
    <w:rsid w:val="006A4D68"/>
    <w:rsid w:val="006A55AA"/>
    <w:rsid w:val="006A5A9C"/>
    <w:rsid w:val="006A5CC3"/>
    <w:rsid w:val="006A5E8B"/>
    <w:rsid w:val="006A5FB4"/>
    <w:rsid w:val="006A67A6"/>
    <w:rsid w:val="006A6937"/>
    <w:rsid w:val="006A6950"/>
    <w:rsid w:val="006A69FF"/>
    <w:rsid w:val="006A6B00"/>
    <w:rsid w:val="006A6F66"/>
    <w:rsid w:val="006A7565"/>
    <w:rsid w:val="006A772C"/>
    <w:rsid w:val="006A790D"/>
    <w:rsid w:val="006A7C30"/>
    <w:rsid w:val="006B0D74"/>
    <w:rsid w:val="006B1242"/>
    <w:rsid w:val="006B1644"/>
    <w:rsid w:val="006B1C97"/>
    <w:rsid w:val="006B2175"/>
    <w:rsid w:val="006B21CD"/>
    <w:rsid w:val="006B252B"/>
    <w:rsid w:val="006B25FF"/>
    <w:rsid w:val="006B28C7"/>
    <w:rsid w:val="006B2D31"/>
    <w:rsid w:val="006B2F8E"/>
    <w:rsid w:val="006B324C"/>
    <w:rsid w:val="006B389D"/>
    <w:rsid w:val="006B394C"/>
    <w:rsid w:val="006B39F7"/>
    <w:rsid w:val="006B3B35"/>
    <w:rsid w:val="006B3B6C"/>
    <w:rsid w:val="006B415A"/>
    <w:rsid w:val="006B4290"/>
    <w:rsid w:val="006B4705"/>
    <w:rsid w:val="006B48E9"/>
    <w:rsid w:val="006B5AE8"/>
    <w:rsid w:val="006B6451"/>
    <w:rsid w:val="006B67F8"/>
    <w:rsid w:val="006B6E3A"/>
    <w:rsid w:val="006B7246"/>
    <w:rsid w:val="006B72ED"/>
    <w:rsid w:val="006B74A2"/>
    <w:rsid w:val="006B7956"/>
    <w:rsid w:val="006B7AC4"/>
    <w:rsid w:val="006B7FC7"/>
    <w:rsid w:val="006C00FE"/>
    <w:rsid w:val="006C0214"/>
    <w:rsid w:val="006C0890"/>
    <w:rsid w:val="006C0973"/>
    <w:rsid w:val="006C0A45"/>
    <w:rsid w:val="006C0DA1"/>
    <w:rsid w:val="006C109B"/>
    <w:rsid w:val="006C115A"/>
    <w:rsid w:val="006C1388"/>
    <w:rsid w:val="006C1E23"/>
    <w:rsid w:val="006C1E6A"/>
    <w:rsid w:val="006C200C"/>
    <w:rsid w:val="006C2498"/>
    <w:rsid w:val="006C25E2"/>
    <w:rsid w:val="006C2930"/>
    <w:rsid w:val="006C2A83"/>
    <w:rsid w:val="006C3059"/>
    <w:rsid w:val="006C30E7"/>
    <w:rsid w:val="006C3968"/>
    <w:rsid w:val="006C3D2C"/>
    <w:rsid w:val="006C4029"/>
    <w:rsid w:val="006C4FD6"/>
    <w:rsid w:val="006C5A6F"/>
    <w:rsid w:val="006C5CC8"/>
    <w:rsid w:val="006C5DEF"/>
    <w:rsid w:val="006C60C2"/>
    <w:rsid w:val="006C61D3"/>
    <w:rsid w:val="006C63A4"/>
    <w:rsid w:val="006C6D53"/>
    <w:rsid w:val="006C6F1D"/>
    <w:rsid w:val="006C7153"/>
    <w:rsid w:val="006C7DA2"/>
    <w:rsid w:val="006D039A"/>
    <w:rsid w:val="006D07DF"/>
    <w:rsid w:val="006D08B8"/>
    <w:rsid w:val="006D08BC"/>
    <w:rsid w:val="006D08E2"/>
    <w:rsid w:val="006D127F"/>
    <w:rsid w:val="006D1C41"/>
    <w:rsid w:val="006D1D30"/>
    <w:rsid w:val="006D2032"/>
    <w:rsid w:val="006D277F"/>
    <w:rsid w:val="006D3121"/>
    <w:rsid w:val="006D3303"/>
    <w:rsid w:val="006D34FC"/>
    <w:rsid w:val="006D3DAB"/>
    <w:rsid w:val="006D49B5"/>
    <w:rsid w:val="006D4D16"/>
    <w:rsid w:val="006D4D4D"/>
    <w:rsid w:val="006D52DB"/>
    <w:rsid w:val="006D57FB"/>
    <w:rsid w:val="006D59F7"/>
    <w:rsid w:val="006D5B2B"/>
    <w:rsid w:val="006D5C1B"/>
    <w:rsid w:val="006D5E5F"/>
    <w:rsid w:val="006D6180"/>
    <w:rsid w:val="006D6198"/>
    <w:rsid w:val="006D6750"/>
    <w:rsid w:val="006D6C50"/>
    <w:rsid w:val="006D742D"/>
    <w:rsid w:val="006D75C8"/>
    <w:rsid w:val="006D7647"/>
    <w:rsid w:val="006E00BD"/>
    <w:rsid w:val="006E01B3"/>
    <w:rsid w:val="006E024C"/>
    <w:rsid w:val="006E0A31"/>
    <w:rsid w:val="006E0A9B"/>
    <w:rsid w:val="006E0BC5"/>
    <w:rsid w:val="006E0C60"/>
    <w:rsid w:val="006E1017"/>
    <w:rsid w:val="006E16E7"/>
    <w:rsid w:val="006E1777"/>
    <w:rsid w:val="006E19A2"/>
    <w:rsid w:val="006E1B45"/>
    <w:rsid w:val="006E1C34"/>
    <w:rsid w:val="006E1E14"/>
    <w:rsid w:val="006E20F3"/>
    <w:rsid w:val="006E24E1"/>
    <w:rsid w:val="006E26CE"/>
    <w:rsid w:val="006E30B8"/>
    <w:rsid w:val="006E30CF"/>
    <w:rsid w:val="006E314D"/>
    <w:rsid w:val="006E3900"/>
    <w:rsid w:val="006E48B5"/>
    <w:rsid w:val="006E4B7F"/>
    <w:rsid w:val="006E4CC3"/>
    <w:rsid w:val="006E4E0C"/>
    <w:rsid w:val="006E5E09"/>
    <w:rsid w:val="006E5E19"/>
    <w:rsid w:val="006E6173"/>
    <w:rsid w:val="006E62EC"/>
    <w:rsid w:val="006E6396"/>
    <w:rsid w:val="006E68F2"/>
    <w:rsid w:val="006E6BFF"/>
    <w:rsid w:val="006E6FFE"/>
    <w:rsid w:val="006F091C"/>
    <w:rsid w:val="006F0EC3"/>
    <w:rsid w:val="006F1313"/>
    <w:rsid w:val="006F1630"/>
    <w:rsid w:val="006F1A1F"/>
    <w:rsid w:val="006F1CDF"/>
    <w:rsid w:val="006F1DA0"/>
    <w:rsid w:val="006F1EC6"/>
    <w:rsid w:val="006F204A"/>
    <w:rsid w:val="006F220A"/>
    <w:rsid w:val="006F26E4"/>
    <w:rsid w:val="006F278E"/>
    <w:rsid w:val="006F27D5"/>
    <w:rsid w:val="006F2809"/>
    <w:rsid w:val="006F28FA"/>
    <w:rsid w:val="006F2AB1"/>
    <w:rsid w:val="006F2BB5"/>
    <w:rsid w:val="006F2C79"/>
    <w:rsid w:val="006F35F0"/>
    <w:rsid w:val="006F3BEF"/>
    <w:rsid w:val="006F43C9"/>
    <w:rsid w:val="006F48EE"/>
    <w:rsid w:val="006F4B6D"/>
    <w:rsid w:val="006F4C05"/>
    <w:rsid w:val="006F4F95"/>
    <w:rsid w:val="006F5355"/>
    <w:rsid w:val="006F61F0"/>
    <w:rsid w:val="006F628C"/>
    <w:rsid w:val="006F6520"/>
    <w:rsid w:val="006F6776"/>
    <w:rsid w:val="006F68CC"/>
    <w:rsid w:val="006F6C4A"/>
    <w:rsid w:val="006F6E7F"/>
    <w:rsid w:val="006F7997"/>
    <w:rsid w:val="006F7AB0"/>
    <w:rsid w:val="006F7B88"/>
    <w:rsid w:val="006F7EB1"/>
    <w:rsid w:val="00700084"/>
    <w:rsid w:val="0070063D"/>
    <w:rsid w:val="00700A71"/>
    <w:rsid w:val="007011BB"/>
    <w:rsid w:val="00701753"/>
    <w:rsid w:val="00701770"/>
    <w:rsid w:val="00701B42"/>
    <w:rsid w:val="007022DD"/>
    <w:rsid w:val="0070235E"/>
    <w:rsid w:val="00702492"/>
    <w:rsid w:val="0070311C"/>
    <w:rsid w:val="00703501"/>
    <w:rsid w:val="007038ED"/>
    <w:rsid w:val="00703992"/>
    <w:rsid w:val="00703F12"/>
    <w:rsid w:val="00704372"/>
    <w:rsid w:val="00704787"/>
    <w:rsid w:val="00705024"/>
    <w:rsid w:val="0070559C"/>
    <w:rsid w:val="00705927"/>
    <w:rsid w:val="00705C49"/>
    <w:rsid w:val="00705CFA"/>
    <w:rsid w:val="007062ED"/>
    <w:rsid w:val="0070643D"/>
    <w:rsid w:val="007066CF"/>
    <w:rsid w:val="0070710F"/>
    <w:rsid w:val="007071AE"/>
    <w:rsid w:val="00707438"/>
    <w:rsid w:val="0070752D"/>
    <w:rsid w:val="00707A68"/>
    <w:rsid w:val="00707AFA"/>
    <w:rsid w:val="00707B3D"/>
    <w:rsid w:val="00707FB1"/>
    <w:rsid w:val="007100FE"/>
    <w:rsid w:val="0071022D"/>
    <w:rsid w:val="007105BB"/>
    <w:rsid w:val="007106CF"/>
    <w:rsid w:val="0071139C"/>
    <w:rsid w:val="00711585"/>
    <w:rsid w:val="00711980"/>
    <w:rsid w:val="00712051"/>
    <w:rsid w:val="00712241"/>
    <w:rsid w:val="00712677"/>
    <w:rsid w:val="00712679"/>
    <w:rsid w:val="00712949"/>
    <w:rsid w:val="00712AAB"/>
    <w:rsid w:val="0071316E"/>
    <w:rsid w:val="0071324D"/>
    <w:rsid w:val="0071332E"/>
    <w:rsid w:val="0071345F"/>
    <w:rsid w:val="007135C3"/>
    <w:rsid w:val="00713BF8"/>
    <w:rsid w:val="00713F13"/>
    <w:rsid w:val="00714817"/>
    <w:rsid w:val="00714ABC"/>
    <w:rsid w:val="00714C05"/>
    <w:rsid w:val="007158B6"/>
    <w:rsid w:val="00716558"/>
    <w:rsid w:val="00716A1C"/>
    <w:rsid w:val="00716D6D"/>
    <w:rsid w:val="0071700F"/>
    <w:rsid w:val="007170DE"/>
    <w:rsid w:val="007172D0"/>
    <w:rsid w:val="0071737B"/>
    <w:rsid w:val="0071740B"/>
    <w:rsid w:val="0071799F"/>
    <w:rsid w:val="00717E20"/>
    <w:rsid w:val="007208D4"/>
    <w:rsid w:val="007214B0"/>
    <w:rsid w:val="00721EEB"/>
    <w:rsid w:val="0072265A"/>
    <w:rsid w:val="00722BA6"/>
    <w:rsid w:val="00722DBB"/>
    <w:rsid w:val="00723594"/>
    <w:rsid w:val="007237B5"/>
    <w:rsid w:val="007239E6"/>
    <w:rsid w:val="00723BF8"/>
    <w:rsid w:val="00724235"/>
    <w:rsid w:val="007244C1"/>
    <w:rsid w:val="00724D6E"/>
    <w:rsid w:val="00724EC5"/>
    <w:rsid w:val="00724F33"/>
    <w:rsid w:val="0072507F"/>
    <w:rsid w:val="00725136"/>
    <w:rsid w:val="00725504"/>
    <w:rsid w:val="0072553E"/>
    <w:rsid w:val="00726038"/>
    <w:rsid w:val="007263B9"/>
    <w:rsid w:val="007264E2"/>
    <w:rsid w:val="00726547"/>
    <w:rsid w:val="007267BC"/>
    <w:rsid w:val="007268E2"/>
    <w:rsid w:val="00726D0E"/>
    <w:rsid w:val="00726EBA"/>
    <w:rsid w:val="00727087"/>
    <w:rsid w:val="007277C4"/>
    <w:rsid w:val="00727843"/>
    <w:rsid w:val="00727C1B"/>
    <w:rsid w:val="00727F4D"/>
    <w:rsid w:val="00727F8C"/>
    <w:rsid w:val="00730323"/>
    <w:rsid w:val="00730589"/>
    <w:rsid w:val="00730604"/>
    <w:rsid w:val="00730708"/>
    <w:rsid w:val="00730E1E"/>
    <w:rsid w:val="00730F68"/>
    <w:rsid w:val="0073177F"/>
    <w:rsid w:val="007317B2"/>
    <w:rsid w:val="007317EC"/>
    <w:rsid w:val="00731D46"/>
    <w:rsid w:val="00732A5E"/>
    <w:rsid w:val="00732BAC"/>
    <w:rsid w:val="00732C0F"/>
    <w:rsid w:val="0073318A"/>
    <w:rsid w:val="00733213"/>
    <w:rsid w:val="00733631"/>
    <w:rsid w:val="00733ED8"/>
    <w:rsid w:val="007340A4"/>
    <w:rsid w:val="00734879"/>
    <w:rsid w:val="00734BCF"/>
    <w:rsid w:val="00735426"/>
    <w:rsid w:val="00735464"/>
    <w:rsid w:val="0073565F"/>
    <w:rsid w:val="00736207"/>
    <w:rsid w:val="0073641D"/>
    <w:rsid w:val="00736E88"/>
    <w:rsid w:val="00736EA0"/>
    <w:rsid w:val="00737508"/>
    <w:rsid w:val="007402AA"/>
    <w:rsid w:val="00740BDD"/>
    <w:rsid w:val="00740E1D"/>
    <w:rsid w:val="0074140B"/>
    <w:rsid w:val="007419A3"/>
    <w:rsid w:val="007419E1"/>
    <w:rsid w:val="00741BFC"/>
    <w:rsid w:val="0074271E"/>
    <w:rsid w:val="00742D4E"/>
    <w:rsid w:val="0074332A"/>
    <w:rsid w:val="00743955"/>
    <w:rsid w:val="00743BA3"/>
    <w:rsid w:val="00744127"/>
    <w:rsid w:val="007446C2"/>
    <w:rsid w:val="007446E1"/>
    <w:rsid w:val="00744816"/>
    <w:rsid w:val="00744F10"/>
    <w:rsid w:val="007452B7"/>
    <w:rsid w:val="0074545F"/>
    <w:rsid w:val="00745973"/>
    <w:rsid w:val="00745CF1"/>
    <w:rsid w:val="007462F1"/>
    <w:rsid w:val="00746898"/>
    <w:rsid w:val="00746D99"/>
    <w:rsid w:val="00747174"/>
    <w:rsid w:val="007472FE"/>
    <w:rsid w:val="00747A9B"/>
    <w:rsid w:val="00747CBC"/>
    <w:rsid w:val="007509D0"/>
    <w:rsid w:val="00750DFE"/>
    <w:rsid w:val="00750F1F"/>
    <w:rsid w:val="00750F6B"/>
    <w:rsid w:val="00751A5D"/>
    <w:rsid w:val="00751C29"/>
    <w:rsid w:val="00751C7C"/>
    <w:rsid w:val="00752445"/>
    <w:rsid w:val="00752644"/>
    <w:rsid w:val="007526DC"/>
    <w:rsid w:val="00752A14"/>
    <w:rsid w:val="00752DD5"/>
    <w:rsid w:val="007532D3"/>
    <w:rsid w:val="00753308"/>
    <w:rsid w:val="007534F5"/>
    <w:rsid w:val="00753D24"/>
    <w:rsid w:val="007542E2"/>
    <w:rsid w:val="00754871"/>
    <w:rsid w:val="00754DE9"/>
    <w:rsid w:val="00754F16"/>
    <w:rsid w:val="00755151"/>
    <w:rsid w:val="0075528B"/>
    <w:rsid w:val="007553C8"/>
    <w:rsid w:val="00755CF1"/>
    <w:rsid w:val="00755DC9"/>
    <w:rsid w:val="00756561"/>
    <w:rsid w:val="00756704"/>
    <w:rsid w:val="00756D09"/>
    <w:rsid w:val="007573C0"/>
    <w:rsid w:val="00757FA8"/>
    <w:rsid w:val="00760980"/>
    <w:rsid w:val="00760CD8"/>
    <w:rsid w:val="00760DB1"/>
    <w:rsid w:val="00760EF1"/>
    <w:rsid w:val="007610B8"/>
    <w:rsid w:val="007612A2"/>
    <w:rsid w:val="007617DC"/>
    <w:rsid w:val="00761E69"/>
    <w:rsid w:val="00762059"/>
    <w:rsid w:val="00762228"/>
    <w:rsid w:val="0076229F"/>
    <w:rsid w:val="007624C9"/>
    <w:rsid w:val="0076266A"/>
    <w:rsid w:val="00762A89"/>
    <w:rsid w:val="007631B5"/>
    <w:rsid w:val="0076326E"/>
    <w:rsid w:val="00763AC2"/>
    <w:rsid w:val="00763AC4"/>
    <w:rsid w:val="00764389"/>
    <w:rsid w:val="00764719"/>
    <w:rsid w:val="00764DF3"/>
    <w:rsid w:val="00764E3D"/>
    <w:rsid w:val="0076560E"/>
    <w:rsid w:val="007658C1"/>
    <w:rsid w:val="00765CD8"/>
    <w:rsid w:val="00766044"/>
    <w:rsid w:val="007660FC"/>
    <w:rsid w:val="0076660E"/>
    <w:rsid w:val="00766643"/>
    <w:rsid w:val="00766F37"/>
    <w:rsid w:val="00767347"/>
    <w:rsid w:val="00767AF5"/>
    <w:rsid w:val="00767B62"/>
    <w:rsid w:val="00770039"/>
    <w:rsid w:val="00770355"/>
    <w:rsid w:val="00770584"/>
    <w:rsid w:val="007706B4"/>
    <w:rsid w:val="00770F09"/>
    <w:rsid w:val="00771905"/>
    <w:rsid w:val="00771A3A"/>
    <w:rsid w:val="00771F6C"/>
    <w:rsid w:val="00771FAE"/>
    <w:rsid w:val="00772474"/>
    <w:rsid w:val="00772891"/>
    <w:rsid w:val="007728F0"/>
    <w:rsid w:val="0077304F"/>
    <w:rsid w:val="00773B14"/>
    <w:rsid w:val="00773EDC"/>
    <w:rsid w:val="007748CA"/>
    <w:rsid w:val="00774E44"/>
    <w:rsid w:val="0077521D"/>
    <w:rsid w:val="0077596D"/>
    <w:rsid w:val="00775E93"/>
    <w:rsid w:val="00776099"/>
    <w:rsid w:val="0077642C"/>
    <w:rsid w:val="007767A2"/>
    <w:rsid w:val="00777132"/>
    <w:rsid w:val="0077734D"/>
    <w:rsid w:val="0078048D"/>
    <w:rsid w:val="007816A5"/>
    <w:rsid w:val="00781802"/>
    <w:rsid w:val="00782826"/>
    <w:rsid w:val="007829C3"/>
    <w:rsid w:val="00782C8C"/>
    <w:rsid w:val="00782FEE"/>
    <w:rsid w:val="0078328F"/>
    <w:rsid w:val="007839E4"/>
    <w:rsid w:val="00783D36"/>
    <w:rsid w:val="007843D1"/>
    <w:rsid w:val="00784E45"/>
    <w:rsid w:val="00784F9F"/>
    <w:rsid w:val="0078511A"/>
    <w:rsid w:val="0078512C"/>
    <w:rsid w:val="0078520A"/>
    <w:rsid w:val="007854C3"/>
    <w:rsid w:val="007859E6"/>
    <w:rsid w:val="00785A8D"/>
    <w:rsid w:val="00785D60"/>
    <w:rsid w:val="00785E96"/>
    <w:rsid w:val="0078634F"/>
    <w:rsid w:val="00786719"/>
    <w:rsid w:val="00786B44"/>
    <w:rsid w:val="00786C9B"/>
    <w:rsid w:val="00786DFE"/>
    <w:rsid w:val="00786E7B"/>
    <w:rsid w:val="0078700B"/>
    <w:rsid w:val="007873B3"/>
    <w:rsid w:val="00787630"/>
    <w:rsid w:val="0078788F"/>
    <w:rsid w:val="00787C50"/>
    <w:rsid w:val="00790201"/>
    <w:rsid w:val="007904D4"/>
    <w:rsid w:val="007905BA"/>
    <w:rsid w:val="00790AF0"/>
    <w:rsid w:val="00790B7C"/>
    <w:rsid w:val="00790C1F"/>
    <w:rsid w:val="00790CA3"/>
    <w:rsid w:val="0079145B"/>
    <w:rsid w:val="00791665"/>
    <w:rsid w:val="00791830"/>
    <w:rsid w:val="007918E6"/>
    <w:rsid w:val="00791EE9"/>
    <w:rsid w:val="00791F92"/>
    <w:rsid w:val="007923AF"/>
    <w:rsid w:val="0079245D"/>
    <w:rsid w:val="007929FF"/>
    <w:rsid w:val="00792DFA"/>
    <w:rsid w:val="00793A32"/>
    <w:rsid w:val="00793CAA"/>
    <w:rsid w:val="00793FFD"/>
    <w:rsid w:val="007940D4"/>
    <w:rsid w:val="00794166"/>
    <w:rsid w:val="007945CD"/>
    <w:rsid w:val="007946C3"/>
    <w:rsid w:val="007950FC"/>
    <w:rsid w:val="0079511A"/>
    <w:rsid w:val="0079532A"/>
    <w:rsid w:val="0079568C"/>
    <w:rsid w:val="0079629C"/>
    <w:rsid w:val="0079666B"/>
    <w:rsid w:val="00796C4A"/>
    <w:rsid w:val="00796F7E"/>
    <w:rsid w:val="00797155"/>
    <w:rsid w:val="00797707"/>
    <w:rsid w:val="00797C6E"/>
    <w:rsid w:val="00797C77"/>
    <w:rsid w:val="00797F3C"/>
    <w:rsid w:val="00797FC6"/>
    <w:rsid w:val="007A03DE"/>
    <w:rsid w:val="007A0407"/>
    <w:rsid w:val="007A08FD"/>
    <w:rsid w:val="007A0FE2"/>
    <w:rsid w:val="007A1012"/>
    <w:rsid w:val="007A133E"/>
    <w:rsid w:val="007A1393"/>
    <w:rsid w:val="007A140E"/>
    <w:rsid w:val="007A18F7"/>
    <w:rsid w:val="007A1B8F"/>
    <w:rsid w:val="007A1DDB"/>
    <w:rsid w:val="007A208F"/>
    <w:rsid w:val="007A23A5"/>
    <w:rsid w:val="007A263B"/>
    <w:rsid w:val="007A2E4B"/>
    <w:rsid w:val="007A30CE"/>
    <w:rsid w:val="007A334E"/>
    <w:rsid w:val="007A3796"/>
    <w:rsid w:val="007A37C5"/>
    <w:rsid w:val="007A390F"/>
    <w:rsid w:val="007A395F"/>
    <w:rsid w:val="007A42B1"/>
    <w:rsid w:val="007A433E"/>
    <w:rsid w:val="007A4393"/>
    <w:rsid w:val="007A48D2"/>
    <w:rsid w:val="007A4962"/>
    <w:rsid w:val="007A4B4C"/>
    <w:rsid w:val="007A52DC"/>
    <w:rsid w:val="007A55B4"/>
    <w:rsid w:val="007A594F"/>
    <w:rsid w:val="007A5E31"/>
    <w:rsid w:val="007A6093"/>
    <w:rsid w:val="007A6616"/>
    <w:rsid w:val="007A6904"/>
    <w:rsid w:val="007A6C92"/>
    <w:rsid w:val="007A6EA7"/>
    <w:rsid w:val="007A6FD3"/>
    <w:rsid w:val="007A6FEC"/>
    <w:rsid w:val="007A70C2"/>
    <w:rsid w:val="007A71DD"/>
    <w:rsid w:val="007A72DF"/>
    <w:rsid w:val="007A77CB"/>
    <w:rsid w:val="007B0315"/>
    <w:rsid w:val="007B044B"/>
    <w:rsid w:val="007B0970"/>
    <w:rsid w:val="007B0A1D"/>
    <w:rsid w:val="007B1044"/>
    <w:rsid w:val="007B14E1"/>
    <w:rsid w:val="007B1708"/>
    <w:rsid w:val="007B2085"/>
    <w:rsid w:val="007B24AA"/>
    <w:rsid w:val="007B2DC2"/>
    <w:rsid w:val="007B3919"/>
    <w:rsid w:val="007B3AB0"/>
    <w:rsid w:val="007B4021"/>
    <w:rsid w:val="007B492A"/>
    <w:rsid w:val="007B4E9A"/>
    <w:rsid w:val="007B521B"/>
    <w:rsid w:val="007B597C"/>
    <w:rsid w:val="007B5DC8"/>
    <w:rsid w:val="007B6A68"/>
    <w:rsid w:val="007B6AAA"/>
    <w:rsid w:val="007B6D41"/>
    <w:rsid w:val="007B6E48"/>
    <w:rsid w:val="007B6F5D"/>
    <w:rsid w:val="007B73EE"/>
    <w:rsid w:val="007B7612"/>
    <w:rsid w:val="007B7673"/>
    <w:rsid w:val="007B78B5"/>
    <w:rsid w:val="007B7AFF"/>
    <w:rsid w:val="007B7B79"/>
    <w:rsid w:val="007B7FF6"/>
    <w:rsid w:val="007C05DC"/>
    <w:rsid w:val="007C05F0"/>
    <w:rsid w:val="007C070F"/>
    <w:rsid w:val="007C0917"/>
    <w:rsid w:val="007C0AA9"/>
    <w:rsid w:val="007C0D83"/>
    <w:rsid w:val="007C1070"/>
    <w:rsid w:val="007C1396"/>
    <w:rsid w:val="007C1A4D"/>
    <w:rsid w:val="007C1A85"/>
    <w:rsid w:val="007C1BAF"/>
    <w:rsid w:val="007C297C"/>
    <w:rsid w:val="007C29A1"/>
    <w:rsid w:val="007C29EB"/>
    <w:rsid w:val="007C29FD"/>
    <w:rsid w:val="007C2CCD"/>
    <w:rsid w:val="007C2D2B"/>
    <w:rsid w:val="007C30B4"/>
    <w:rsid w:val="007C3560"/>
    <w:rsid w:val="007C38A4"/>
    <w:rsid w:val="007C3BF3"/>
    <w:rsid w:val="007C4359"/>
    <w:rsid w:val="007C44CC"/>
    <w:rsid w:val="007C4544"/>
    <w:rsid w:val="007C4F39"/>
    <w:rsid w:val="007C5035"/>
    <w:rsid w:val="007C5179"/>
    <w:rsid w:val="007C5254"/>
    <w:rsid w:val="007C531A"/>
    <w:rsid w:val="007C593A"/>
    <w:rsid w:val="007C5B00"/>
    <w:rsid w:val="007C5BDD"/>
    <w:rsid w:val="007C5EFA"/>
    <w:rsid w:val="007C6364"/>
    <w:rsid w:val="007C6862"/>
    <w:rsid w:val="007C6E54"/>
    <w:rsid w:val="007C736F"/>
    <w:rsid w:val="007C775D"/>
    <w:rsid w:val="007C7F8D"/>
    <w:rsid w:val="007D02EB"/>
    <w:rsid w:val="007D1079"/>
    <w:rsid w:val="007D14B0"/>
    <w:rsid w:val="007D166D"/>
    <w:rsid w:val="007D1920"/>
    <w:rsid w:val="007D19D5"/>
    <w:rsid w:val="007D1DAC"/>
    <w:rsid w:val="007D2043"/>
    <w:rsid w:val="007D28F0"/>
    <w:rsid w:val="007D2C24"/>
    <w:rsid w:val="007D3046"/>
    <w:rsid w:val="007D3623"/>
    <w:rsid w:val="007D3648"/>
    <w:rsid w:val="007D3692"/>
    <w:rsid w:val="007D36EF"/>
    <w:rsid w:val="007D37A9"/>
    <w:rsid w:val="007D404F"/>
    <w:rsid w:val="007D44A5"/>
    <w:rsid w:val="007D4957"/>
    <w:rsid w:val="007D4BE7"/>
    <w:rsid w:val="007D4E07"/>
    <w:rsid w:val="007D531D"/>
    <w:rsid w:val="007D54F1"/>
    <w:rsid w:val="007D6481"/>
    <w:rsid w:val="007D6583"/>
    <w:rsid w:val="007D712E"/>
    <w:rsid w:val="007D7256"/>
    <w:rsid w:val="007D728C"/>
    <w:rsid w:val="007D7570"/>
    <w:rsid w:val="007D77ED"/>
    <w:rsid w:val="007D7F6D"/>
    <w:rsid w:val="007E0116"/>
    <w:rsid w:val="007E0691"/>
    <w:rsid w:val="007E0CD3"/>
    <w:rsid w:val="007E1136"/>
    <w:rsid w:val="007E177D"/>
    <w:rsid w:val="007E1CD8"/>
    <w:rsid w:val="007E1CFC"/>
    <w:rsid w:val="007E2014"/>
    <w:rsid w:val="007E27A2"/>
    <w:rsid w:val="007E2FE6"/>
    <w:rsid w:val="007E3DE1"/>
    <w:rsid w:val="007E4036"/>
    <w:rsid w:val="007E44DF"/>
    <w:rsid w:val="007E4F6E"/>
    <w:rsid w:val="007E58B2"/>
    <w:rsid w:val="007E601E"/>
    <w:rsid w:val="007E6354"/>
    <w:rsid w:val="007E64FF"/>
    <w:rsid w:val="007E6AC1"/>
    <w:rsid w:val="007E6C2E"/>
    <w:rsid w:val="007E6DC3"/>
    <w:rsid w:val="007E7440"/>
    <w:rsid w:val="007E7BBC"/>
    <w:rsid w:val="007F0588"/>
    <w:rsid w:val="007F0CB2"/>
    <w:rsid w:val="007F0DD6"/>
    <w:rsid w:val="007F0E7B"/>
    <w:rsid w:val="007F0FAF"/>
    <w:rsid w:val="007F108A"/>
    <w:rsid w:val="007F1661"/>
    <w:rsid w:val="007F1675"/>
    <w:rsid w:val="007F1E05"/>
    <w:rsid w:val="007F1F31"/>
    <w:rsid w:val="007F290A"/>
    <w:rsid w:val="007F2961"/>
    <w:rsid w:val="007F2B34"/>
    <w:rsid w:val="007F30BA"/>
    <w:rsid w:val="007F38A2"/>
    <w:rsid w:val="007F3F34"/>
    <w:rsid w:val="007F4230"/>
    <w:rsid w:val="007F45DA"/>
    <w:rsid w:val="007F534A"/>
    <w:rsid w:val="007F67F8"/>
    <w:rsid w:val="007F6AF2"/>
    <w:rsid w:val="007F6E48"/>
    <w:rsid w:val="007F7316"/>
    <w:rsid w:val="007F756B"/>
    <w:rsid w:val="007F75E3"/>
    <w:rsid w:val="007F7A20"/>
    <w:rsid w:val="007F7DF8"/>
    <w:rsid w:val="00800299"/>
    <w:rsid w:val="0080053F"/>
    <w:rsid w:val="00800679"/>
    <w:rsid w:val="00800BCF"/>
    <w:rsid w:val="00800CF7"/>
    <w:rsid w:val="00801645"/>
    <w:rsid w:val="00802D17"/>
    <w:rsid w:val="0080314D"/>
    <w:rsid w:val="0080317A"/>
    <w:rsid w:val="00803A44"/>
    <w:rsid w:val="00803A86"/>
    <w:rsid w:val="008047F3"/>
    <w:rsid w:val="00804AF4"/>
    <w:rsid w:val="00804FF0"/>
    <w:rsid w:val="008055D2"/>
    <w:rsid w:val="0080604C"/>
    <w:rsid w:val="00806448"/>
    <w:rsid w:val="008065FB"/>
    <w:rsid w:val="00806928"/>
    <w:rsid w:val="008069B7"/>
    <w:rsid w:val="00806BEC"/>
    <w:rsid w:val="00806FE4"/>
    <w:rsid w:val="00807C2E"/>
    <w:rsid w:val="00807D6F"/>
    <w:rsid w:val="00807D7A"/>
    <w:rsid w:val="00807DAC"/>
    <w:rsid w:val="00807E1E"/>
    <w:rsid w:val="0081039F"/>
    <w:rsid w:val="00810512"/>
    <w:rsid w:val="00810FD3"/>
    <w:rsid w:val="00811098"/>
    <w:rsid w:val="0081172B"/>
    <w:rsid w:val="00811746"/>
    <w:rsid w:val="00811A9B"/>
    <w:rsid w:val="00811B26"/>
    <w:rsid w:val="00811DB2"/>
    <w:rsid w:val="00811DC6"/>
    <w:rsid w:val="00811F53"/>
    <w:rsid w:val="008120B4"/>
    <w:rsid w:val="00812426"/>
    <w:rsid w:val="008126F9"/>
    <w:rsid w:val="00812EC0"/>
    <w:rsid w:val="00813256"/>
    <w:rsid w:val="00813E10"/>
    <w:rsid w:val="00813E86"/>
    <w:rsid w:val="00814026"/>
    <w:rsid w:val="0081458B"/>
    <w:rsid w:val="00814765"/>
    <w:rsid w:val="00814951"/>
    <w:rsid w:val="00814AF4"/>
    <w:rsid w:val="00814BAF"/>
    <w:rsid w:val="008151CD"/>
    <w:rsid w:val="00816250"/>
    <w:rsid w:val="00816385"/>
    <w:rsid w:val="008168BE"/>
    <w:rsid w:val="00816D7E"/>
    <w:rsid w:val="00816DC1"/>
    <w:rsid w:val="00816F36"/>
    <w:rsid w:val="00817365"/>
    <w:rsid w:val="0081794A"/>
    <w:rsid w:val="00817B14"/>
    <w:rsid w:val="00817EC7"/>
    <w:rsid w:val="00820223"/>
    <w:rsid w:val="00820BD9"/>
    <w:rsid w:val="00821C7B"/>
    <w:rsid w:val="0082204C"/>
    <w:rsid w:val="0082215E"/>
    <w:rsid w:val="0082269F"/>
    <w:rsid w:val="00822857"/>
    <w:rsid w:val="00822B56"/>
    <w:rsid w:val="00822E01"/>
    <w:rsid w:val="00822E5D"/>
    <w:rsid w:val="00822EB2"/>
    <w:rsid w:val="008231EF"/>
    <w:rsid w:val="008239EA"/>
    <w:rsid w:val="00823B59"/>
    <w:rsid w:val="008246A9"/>
    <w:rsid w:val="00824C5B"/>
    <w:rsid w:val="00824CFF"/>
    <w:rsid w:val="00824DDE"/>
    <w:rsid w:val="00824FFF"/>
    <w:rsid w:val="00825010"/>
    <w:rsid w:val="00825ADA"/>
    <w:rsid w:val="00825B59"/>
    <w:rsid w:val="00825F3E"/>
    <w:rsid w:val="0082645E"/>
    <w:rsid w:val="008267CF"/>
    <w:rsid w:val="00826853"/>
    <w:rsid w:val="008271D6"/>
    <w:rsid w:val="00827360"/>
    <w:rsid w:val="00827891"/>
    <w:rsid w:val="00830011"/>
    <w:rsid w:val="008302C4"/>
    <w:rsid w:val="008302ED"/>
    <w:rsid w:val="00830CE9"/>
    <w:rsid w:val="00831084"/>
    <w:rsid w:val="008315C1"/>
    <w:rsid w:val="00831AEE"/>
    <w:rsid w:val="00831DFD"/>
    <w:rsid w:val="0083216E"/>
    <w:rsid w:val="0083253E"/>
    <w:rsid w:val="008327F0"/>
    <w:rsid w:val="0083287F"/>
    <w:rsid w:val="008329B8"/>
    <w:rsid w:val="00832A47"/>
    <w:rsid w:val="00833023"/>
    <w:rsid w:val="00833086"/>
    <w:rsid w:val="0083317A"/>
    <w:rsid w:val="008333F8"/>
    <w:rsid w:val="008334ED"/>
    <w:rsid w:val="0083364C"/>
    <w:rsid w:val="0083376B"/>
    <w:rsid w:val="00833BBF"/>
    <w:rsid w:val="00833FC5"/>
    <w:rsid w:val="00834286"/>
    <w:rsid w:val="0083458A"/>
    <w:rsid w:val="0083473A"/>
    <w:rsid w:val="00834770"/>
    <w:rsid w:val="008348F5"/>
    <w:rsid w:val="008350FF"/>
    <w:rsid w:val="0083515C"/>
    <w:rsid w:val="008364BA"/>
    <w:rsid w:val="00836626"/>
    <w:rsid w:val="0083690C"/>
    <w:rsid w:val="00836EF6"/>
    <w:rsid w:val="0083767D"/>
    <w:rsid w:val="008379BA"/>
    <w:rsid w:val="008400D1"/>
    <w:rsid w:val="0084016B"/>
    <w:rsid w:val="00840FB0"/>
    <w:rsid w:val="00841017"/>
    <w:rsid w:val="008413E5"/>
    <w:rsid w:val="00841491"/>
    <w:rsid w:val="008416EB"/>
    <w:rsid w:val="00841F5A"/>
    <w:rsid w:val="00842BF6"/>
    <w:rsid w:val="00842E50"/>
    <w:rsid w:val="00842EFC"/>
    <w:rsid w:val="00843210"/>
    <w:rsid w:val="008436F2"/>
    <w:rsid w:val="008439D8"/>
    <w:rsid w:val="00843C06"/>
    <w:rsid w:val="00843DEE"/>
    <w:rsid w:val="008441E9"/>
    <w:rsid w:val="0084424E"/>
    <w:rsid w:val="008445A0"/>
    <w:rsid w:val="008445B8"/>
    <w:rsid w:val="00844A30"/>
    <w:rsid w:val="00844BDA"/>
    <w:rsid w:val="00844C24"/>
    <w:rsid w:val="00844D24"/>
    <w:rsid w:val="00844E34"/>
    <w:rsid w:val="0084502F"/>
    <w:rsid w:val="008454FC"/>
    <w:rsid w:val="008455AA"/>
    <w:rsid w:val="00845C97"/>
    <w:rsid w:val="008464E2"/>
    <w:rsid w:val="0084665D"/>
    <w:rsid w:val="00846956"/>
    <w:rsid w:val="00846A62"/>
    <w:rsid w:val="00846B2F"/>
    <w:rsid w:val="00846EAA"/>
    <w:rsid w:val="008470DE"/>
    <w:rsid w:val="0084746D"/>
    <w:rsid w:val="00847B01"/>
    <w:rsid w:val="0085066F"/>
    <w:rsid w:val="00850777"/>
    <w:rsid w:val="00851144"/>
    <w:rsid w:val="008513A0"/>
    <w:rsid w:val="00851633"/>
    <w:rsid w:val="00851C14"/>
    <w:rsid w:val="008520F0"/>
    <w:rsid w:val="008521AF"/>
    <w:rsid w:val="008522B7"/>
    <w:rsid w:val="008531AE"/>
    <w:rsid w:val="00853F31"/>
    <w:rsid w:val="008543F6"/>
    <w:rsid w:val="00854770"/>
    <w:rsid w:val="00854D23"/>
    <w:rsid w:val="00854D70"/>
    <w:rsid w:val="00854E20"/>
    <w:rsid w:val="00854F5E"/>
    <w:rsid w:val="008551AF"/>
    <w:rsid w:val="0085533D"/>
    <w:rsid w:val="0085541A"/>
    <w:rsid w:val="008558B5"/>
    <w:rsid w:val="00855B04"/>
    <w:rsid w:val="00855E5E"/>
    <w:rsid w:val="0085615C"/>
    <w:rsid w:val="0085644A"/>
    <w:rsid w:val="00856695"/>
    <w:rsid w:val="0085696D"/>
    <w:rsid w:val="008569DA"/>
    <w:rsid w:val="00856B9B"/>
    <w:rsid w:val="00856DDB"/>
    <w:rsid w:val="00857B61"/>
    <w:rsid w:val="00857FB1"/>
    <w:rsid w:val="0086029E"/>
    <w:rsid w:val="00860AAC"/>
    <w:rsid w:val="00860E25"/>
    <w:rsid w:val="00860F5E"/>
    <w:rsid w:val="00860F66"/>
    <w:rsid w:val="00861072"/>
    <w:rsid w:val="008610F5"/>
    <w:rsid w:val="00861714"/>
    <w:rsid w:val="00861FBF"/>
    <w:rsid w:val="00862A85"/>
    <w:rsid w:val="00862BCC"/>
    <w:rsid w:val="00862D5B"/>
    <w:rsid w:val="008632B3"/>
    <w:rsid w:val="00863789"/>
    <w:rsid w:val="0086399A"/>
    <w:rsid w:val="00863B09"/>
    <w:rsid w:val="00863CE8"/>
    <w:rsid w:val="00863F42"/>
    <w:rsid w:val="00864370"/>
    <w:rsid w:val="008644C9"/>
    <w:rsid w:val="00864565"/>
    <w:rsid w:val="00864A54"/>
    <w:rsid w:val="00864A75"/>
    <w:rsid w:val="00864EF9"/>
    <w:rsid w:val="00865182"/>
    <w:rsid w:val="00865698"/>
    <w:rsid w:val="00866430"/>
    <w:rsid w:val="00866885"/>
    <w:rsid w:val="00866B01"/>
    <w:rsid w:val="00867860"/>
    <w:rsid w:val="00867A07"/>
    <w:rsid w:val="00867BC6"/>
    <w:rsid w:val="00867BD1"/>
    <w:rsid w:val="00867F2B"/>
    <w:rsid w:val="00870895"/>
    <w:rsid w:val="00870947"/>
    <w:rsid w:val="00870DFD"/>
    <w:rsid w:val="00870E8D"/>
    <w:rsid w:val="00871758"/>
    <w:rsid w:val="008728F9"/>
    <w:rsid w:val="0087364D"/>
    <w:rsid w:val="00873851"/>
    <w:rsid w:val="00873B45"/>
    <w:rsid w:val="00873F19"/>
    <w:rsid w:val="00873F4F"/>
    <w:rsid w:val="008741A0"/>
    <w:rsid w:val="008748B9"/>
    <w:rsid w:val="00874A96"/>
    <w:rsid w:val="00874B7B"/>
    <w:rsid w:val="00874BEB"/>
    <w:rsid w:val="00874BF9"/>
    <w:rsid w:val="00874EC2"/>
    <w:rsid w:val="00876054"/>
    <w:rsid w:val="008760C7"/>
    <w:rsid w:val="0087659B"/>
    <w:rsid w:val="008766EF"/>
    <w:rsid w:val="0087704D"/>
    <w:rsid w:val="008774C6"/>
    <w:rsid w:val="00877BAC"/>
    <w:rsid w:val="00877FA2"/>
    <w:rsid w:val="00880DE0"/>
    <w:rsid w:val="00881051"/>
    <w:rsid w:val="0088111E"/>
    <w:rsid w:val="0088149D"/>
    <w:rsid w:val="0088204F"/>
    <w:rsid w:val="00882241"/>
    <w:rsid w:val="0088280B"/>
    <w:rsid w:val="00882A66"/>
    <w:rsid w:val="008830D6"/>
    <w:rsid w:val="00883ACC"/>
    <w:rsid w:val="00883B54"/>
    <w:rsid w:val="00883BED"/>
    <w:rsid w:val="00883F37"/>
    <w:rsid w:val="00884C18"/>
    <w:rsid w:val="00885040"/>
    <w:rsid w:val="00885138"/>
    <w:rsid w:val="0088529E"/>
    <w:rsid w:val="008852DC"/>
    <w:rsid w:val="00885316"/>
    <w:rsid w:val="008854CD"/>
    <w:rsid w:val="00885853"/>
    <w:rsid w:val="008862C9"/>
    <w:rsid w:val="008864BA"/>
    <w:rsid w:val="0088690E"/>
    <w:rsid w:val="00886C0B"/>
    <w:rsid w:val="00887039"/>
    <w:rsid w:val="008877A9"/>
    <w:rsid w:val="00887875"/>
    <w:rsid w:val="00887FCA"/>
    <w:rsid w:val="00890264"/>
    <w:rsid w:val="00890753"/>
    <w:rsid w:val="00890954"/>
    <w:rsid w:val="00890A60"/>
    <w:rsid w:val="00890B98"/>
    <w:rsid w:val="0089113F"/>
    <w:rsid w:val="0089141A"/>
    <w:rsid w:val="00892A0B"/>
    <w:rsid w:val="00893127"/>
    <w:rsid w:val="00893234"/>
    <w:rsid w:val="008935FB"/>
    <w:rsid w:val="00893827"/>
    <w:rsid w:val="0089410A"/>
    <w:rsid w:val="008945EB"/>
    <w:rsid w:val="00894880"/>
    <w:rsid w:val="00894975"/>
    <w:rsid w:val="00894A2D"/>
    <w:rsid w:val="00894EBE"/>
    <w:rsid w:val="00894F78"/>
    <w:rsid w:val="008950AD"/>
    <w:rsid w:val="008950E6"/>
    <w:rsid w:val="008957F7"/>
    <w:rsid w:val="00895A25"/>
    <w:rsid w:val="00895D08"/>
    <w:rsid w:val="00896260"/>
    <w:rsid w:val="008963D2"/>
    <w:rsid w:val="0089643A"/>
    <w:rsid w:val="00896AB7"/>
    <w:rsid w:val="00896B57"/>
    <w:rsid w:val="00896F84"/>
    <w:rsid w:val="00897862"/>
    <w:rsid w:val="00897890"/>
    <w:rsid w:val="008A0128"/>
    <w:rsid w:val="008A03D4"/>
    <w:rsid w:val="008A0DC9"/>
    <w:rsid w:val="008A16C0"/>
    <w:rsid w:val="008A17FF"/>
    <w:rsid w:val="008A1D9C"/>
    <w:rsid w:val="008A2005"/>
    <w:rsid w:val="008A2A4B"/>
    <w:rsid w:val="008A2B07"/>
    <w:rsid w:val="008A3809"/>
    <w:rsid w:val="008A397B"/>
    <w:rsid w:val="008A3A93"/>
    <w:rsid w:val="008A45C0"/>
    <w:rsid w:val="008A4A77"/>
    <w:rsid w:val="008A4CE7"/>
    <w:rsid w:val="008A5618"/>
    <w:rsid w:val="008A5691"/>
    <w:rsid w:val="008A5F32"/>
    <w:rsid w:val="008A62DA"/>
    <w:rsid w:val="008A64F4"/>
    <w:rsid w:val="008A68FC"/>
    <w:rsid w:val="008A6A42"/>
    <w:rsid w:val="008A6F53"/>
    <w:rsid w:val="008A6F56"/>
    <w:rsid w:val="008A71A7"/>
    <w:rsid w:val="008A749A"/>
    <w:rsid w:val="008A7B12"/>
    <w:rsid w:val="008B03D4"/>
    <w:rsid w:val="008B063B"/>
    <w:rsid w:val="008B078D"/>
    <w:rsid w:val="008B08B8"/>
    <w:rsid w:val="008B0954"/>
    <w:rsid w:val="008B0D2B"/>
    <w:rsid w:val="008B0D5D"/>
    <w:rsid w:val="008B0F37"/>
    <w:rsid w:val="008B12F0"/>
    <w:rsid w:val="008B1372"/>
    <w:rsid w:val="008B1A0E"/>
    <w:rsid w:val="008B1B38"/>
    <w:rsid w:val="008B1D28"/>
    <w:rsid w:val="008B1E6E"/>
    <w:rsid w:val="008B266B"/>
    <w:rsid w:val="008B26DD"/>
    <w:rsid w:val="008B270F"/>
    <w:rsid w:val="008B348C"/>
    <w:rsid w:val="008B35C2"/>
    <w:rsid w:val="008B3FEB"/>
    <w:rsid w:val="008B409F"/>
    <w:rsid w:val="008B42CC"/>
    <w:rsid w:val="008B4605"/>
    <w:rsid w:val="008B47AB"/>
    <w:rsid w:val="008B4998"/>
    <w:rsid w:val="008B4BE8"/>
    <w:rsid w:val="008B52E4"/>
    <w:rsid w:val="008B540D"/>
    <w:rsid w:val="008B5490"/>
    <w:rsid w:val="008B5875"/>
    <w:rsid w:val="008B59D1"/>
    <w:rsid w:val="008B60CD"/>
    <w:rsid w:val="008B6707"/>
    <w:rsid w:val="008B7372"/>
    <w:rsid w:val="008B7489"/>
    <w:rsid w:val="008C01A6"/>
    <w:rsid w:val="008C062A"/>
    <w:rsid w:val="008C080E"/>
    <w:rsid w:val="008C081A"/>
    <w:rsid w:val="008C0AA0"/>
    <w:rsid w:val="008C1454"/>
    <w:rsid w:val="008C16A6"/>
    <w:rsid w:val="008C2006"/>
    <w:rsid w:val="008C2BF1"/>
    <w:rsid w:val="008C2DA3"/>
    <w:rsid w:val="008C304F"/>
    <w:rsid w:val="008C3B65"/>
    <w:rsid w:val="008C3C5E"/>
    <w:rsid w:val="008C3CF8"/>
    <w:rsid w:val="008C402B"/>
    <w:rsid w:val="008C4174"/>
    <w:rsid w:val="008C442B"/>
    <w:rsid w:val="008C48D5"/>
    <w:rsid w:val="008C4982"/>
    <w:rsid w:val="008C520C"/>
    <w:rsid w:val="008C5249"/>
    <w:rsid w:val="008C5AAD"/>
    <w:rsid w:val="008C5ABC"/>
    <w:rsid w:val="008C5CA0"/>
    <w:rsid w:val="008C5E82"/>
    <w:rsid w:val="008C60D2"/>
    <w:rsid w:val="008C62D8"/>
    <w:rsid w:val="008C671C"/>
    <w:rsid w:val="008C6C11"/>
    <w:rsid w:val="008C6C92"/>
    <w:rsid w:val="008C73F8"/>
    <w:rsid w:val="008C7850"/>
    <w:rsid w:val="008D0214"/>
    <w:rsid w:val="008D0293"/>
    <w:rsid w:val="008D0DDB"/>
    <w:rsid w:val="008D0E03"/>
    <w:rsid w:val="008D0F7C"/>
    <w:rsid w:val="008D14B9"/>
    <w:rsid w:val="008D1B32"/>
    <w:rsid w:val="008D22E2"/>
    <w:rsid w:val="008D31F2"/>
    <w:rsid w:val="008D345E"/>
    <w:rsid w:val="008D3841"/>
    <w:rsid w:val="008D38E4"/>
    <w:rsid w:val="008D39C9"/>
    <w:rsid w:val="008D3A90"/>
    <w:rsid w:val="008D4338"/>
    <w:rsid w:val="008D4638"/>
    <w:rsid w:val="008D5111"/>
    <w:rsid w:val="008D5431"/>
    <w:rsid w:val="008D5B93"/>
    <w:rsid w:val="008D5DE3"/>
    <w:rsid w:val="008D6236"/>
    <w:rsid w:val="008D6CFC"/>
    <w:rsid w:val="008D6DE1"/>
    <w:rsid w:val="008D7479"/>
    <w:rsid w:val="008D77A2"/>
    <w:rsid w:val="008D7A69"/>
    <w:rsid w:val="008E001F"/>
    <w:rsid w:val="008E015F"/>
    <w:rsid w:val="008E01AB"/>
    <w:rsid w:val="008E047D"/>
    <w:rsid w:val="008E0A45"/>
    <w:rsid w:val="008E0F6E"/>
    <w:rsid w:val="008E0F98"/>
    <w:rsid w:val="008E125D"/>
    <w:rsid w:val="008E1481"/>
    <w:rsid w:val="008E1843"/>
    <w:rsid w:val="008E1B28"/>
    <w:rsid w:val="008E229A"/>
    <w:rsid w:val="008E2A92"/>
    <w:rsid w:val="008E3525"/>
    <w:rsid w:val="008E3C92"/>
    <w:rsid w:val="008E40CB"/>
    <w:rsid w:val="008E460B"/>
    <w:rsid w:val="008E4A0A"/>
    <w:rsid w:val="008E4B94"/>
    <w:rsid w:val="008E5065"/>
    <w:rsid w:val="008E5B4E"/>
    <w:rsid w:val="008E5CE0"/>
    <w:rsid w:val="008E61F9"/>
    <w:rsid w:val="008E653E"/>
    <w:rsid w:val="008E6881"/>
    <w:rsid w:val="008E6DD6"/>
    <w:rsid w:val="008E6E85"/>
    <w:rsid w:val="008E6FAB"/>
    <w:rsid w:val="008E7161"/>
    <w:rsid w:val="008E77C5"/>
    <w:rsid w:val="008E7B87"/>
    <w:rsid w:val="008E7C55"/>
    <w:rsid w:val="008E7C71"/>
    <w:rsid w:val="008F0107"/>
    <w:rsid w:val="008F0189"/>
    <w:rsid w:val="008F02FB"/>
    <w:rsid w:val="008F0530"/>
    <w:rsid w:val="008F05A5"/>
    <w:rsid w:val="008F0805"/>
    <w:rsid w:val="008F10E0"/>
    <w:rsid w:val="008F126B"/>
    <w:rsid w:val="008F132D"/>
    <w:rsid w:val="008F1465"/>
    <w:rsid w:val="008F15DC"/>
    <w:rsid w:val="008F1DA8"/>
    <w:rsid w:val="008F20A9"/>
    <w:rsid w:val="008F2417"/>
    <w:rsid w:val="008F2428"/>
    <w:rsid w:val="008F2446"/>
    <w:rsid w:val="008F25FD"/>
    <w:rsid w:val="008F29DF"/>
    <w:rsid w:val="008F2C7D"/>
    <w:rsid w:val="008F314A"/>
    <w:rsid w:val="008F37F1"/>
    <w:rsid w:val="008F3A71"/>
    <w:rsid w:val="008F3B9D"/>
    <w:rsid w:val="008F3CBC"/>
    <w:rsid w:val="008F3F19"/>
    <w:rsid w:val="008F4838"/>
    <w:rsid w:val="008F50E2"/>
    <w:rsid w:val="008F5178"/>
    <w:rsid w:val="008F518C"/>
    <w:rsid w:val="008F5418"/>
    <w:rsid w:val="008F5851"/>
    <w:rsid w:val="008F5B49"/>
    <w:rsid w:val="008F5C07"/>
    <w:rsid w:val="008F5E0E"/>
    <w:rsid w:val="008F60BF"/>
    <w:rsid w:val="008F60F1"/>
    <w:rsid w:val="008F6238"/>
    <w:rsid w:val="008F6262"/>
    <w:rsid w:val="008F6BAE"/>
    <w:rsid w:val="008F6D8C"/>
    <w:rsid w:val="008F7578"/>
    <w:rsid w:val="008F7996"/>
    <w:rsid w:val="008F7A94"/>
    <w:rsid w:val="008F7ED6"/>
    <w:rsid w:val="0090032D"/>
    <w:rsid w:val="009003EB"/>
    <w:rsid w:val="0090041E"/>
    <w:rsid w:val="0090072C"/>
    <w:rsid w:val="00900953"/>
    <w:rsid w:val="009009B1"/>
    <w:rsid w:val="00901064"/>
    <w:rsid w:val="00901418"/>
    <w:rsid w:val="00901860"/>
    <w:rsid w:val="0090222D"/>
    <w:rsid w:val="009024DD"/>
    <w:rsid w:val="0090290C"/>
    <w:rsid w:val="00902A1B"/>
    <w:rsid w:val="00902C14"/>
    <w:rsid w:val="00902E2F"/>
    <w:rsid w:val="0090318B"/>
    <w:rsid w:val="0090324D"/>
    <w:rsid w:val="00903A7D"/>
    <w:rsid w:val="00903F31"/>
    <w:rsid w:val="00904615"/>
    <w:rsid w:val="00904D0F"/>
    <w:rsid w:val="00904D9A"/>
    <w:rsid w:val="00904DAF"/>
    <w:rsid w:val="00905327"/>
    <w:rsid w:val="009054FA"/>
    <w:rsid w:val="0090580D"/>
    <w:rsid w:val="00905C86"/>
    <w:rsid w:val="00905F11"/>
    <w:rsid w:val="00906419"/>
    <w:rsid w:val="0090642C"/>
    <w:rsid w:val="0090678C"/>
    <w:rsid w:val="00906878"/>
    <w:rsid w:val="009068E6"/>
    <w:rsid w:val="009069DE"/>
    <w:rsid w:val="00906DBA"/>
    <w:rsid w:val="00906F55"/>
    <w:rsid w:val="00906FFF"/>
    <w:rsid w:val="00907731"/>
    <w:rsid w:val="00907C23"/>
    <w:rsid w:val="00910011"/>
    <w:rsid w:val="00910D28"/>
    <w:rsid w:val="00910DCF"/>
    <w:rsid w:val="00910E11"/>
    <w:rsid w:val="009110E2"/>
    <w:rsid w:val="00911C00"/>
    <w:rsid w:val="009120D7"/>
    <w:rsid w:val="0091266C"/>
    <w:rsid w:val="0091288F"/>
    <w:rsid w:val="00912896"/>
    <w:rsid w:val="00912C3A"/>
    <w:rsid w:val="00912D38"/>
    <w:rsid w:val="0091314A"/>
    <w:rsid w:val="0091373D"/>
    <w:rsid w:val="00913755"/>
    <w:rsid w:val="00913DA7"/>
    <w:rsid w:val="0091427F"/>
    <w:rsid w:val="00914335"/>
    <w:rsid w:val="00914501"/>
    <w:rsid w:val="009151B3"/>
    <w:rsid w:val="00916705"/>
    <w:rsid w:val="00916799"/>
    <w:rsid w:val="00916C15"/>
    <w:rsid w:val="00916D2E"/>
    <w:rsid w:val="00917634"/>
    <w:rsid w:val="00917A57"/>
    <w:rsid w:val="00917B2D"/>
    <w:rsid w:val="0092079E"/>
    <w:rsid w:val="009208BC"/>
    <w:rsid w:val="00920E39"/>
    <w:rsid w:val="0092102C"/>
    <w:rsid w:val="00921582"/>
    <w:rsid w:val="00921B19"/>
    <w:rsid w:val="00921FF6"/>
    <w:rsid w:val="00922065"/>
    <w:rsid w:val="00922955"/>
    <w:rsid w:val="009229FF"/>
    <w:rsid w:val="00922EAB"/>
    <w:rsid w:val="00923425"/>
    <w:rsid w:val="009238E6"/>
    <w:rsid w:val="00923A44"/>
    <w:rsid w:val="0092403C"/>
    <w:rsid w:val="0092431F"/>
    <w:rsid w:val="0092440E"/>
    <w:rsid w:val="009244AA"/>
    <w:rsid w:val="009246B3"/>
    <w:rsid w:val="009246F1"/>
    <w:rsid w:val="00924C6D"/>
    <w:rsid w:val="00924F40"/>
    <w:rsid w:val="0092528D"/>
    <w:rsid w:val="00925BF9"/>
    <w:rsid w:val="00926191"/>
    <w:rsid w:val="00926E05"/>
    <w:rsid w:val="00927295"/>
    <w:rsid w:val="00927C42"/>
    <w:rsid w:val="00927DD0"/>
    <w:rsid w:val="00930160"/>
    <w:rsid w:val="009302BD"/>
    <w:rsid w:val="00930718"/>
    <w:rsid w:val="0093071C"/>
    <w:rsid w:val="009308A1"/>
    <w:rsid w:val="00930C1E"/>
    <w:rsid w:val="00931368"/>
    <w:rsid w:val="00931408"/>
    <w:rsid w:val="00931D68"/>
    <w:rsid w:val="00933307"/>
    <w:rsid w:val="009333B5"/>
    <w:rsid w:val="009333F0"/>
    <w:rsid w:val="009346E7"/>
    <w:rsid w:val="00934781"/>
    <w:rsid w:val="00934AB5"/>
    <w:rsid w:val="009350E9"/>
    <w:rsid w:val="009358DE"/>
    <w:rsid w:val="00936849"/>
    <w:rsid w:val="0093687B"/>
    <w:rsid w:val="00936C02"/>
    <w:rsid w:val="0093715A"/>
    <w:rsid w:val="00937205"/>
    <w:rsid w:val="00937297"/>
    <w:rsid w:val="00937621"/>
    <w:rsid w:val="00937907"/>
    <w:rsid w:val="00937B0A"/>
    <w:rsid w:val="00940161"/>
    <w:rsid w:val="009407FE"/>
    <w:rsid w:val="00940C62"/>
    <w:rsid w:val="00941056"/>
    <w:rsid w:val="009412A8"/>
    <w:rsid w:val="00941B46"/>
    <w:rsid w:val="00941B59"/>
    <w:rsid w:val="00941F0F"/>
    <w:rsid w:val="0094213D"/>
    <w:rsid w:val="0094228A"/>
    <w:rsid w:val="00942693"/>
    <w:rsid w:val="00943234"/>
    <w:rsid w:val="009436C5"/>
    <w:rsid w:val="009437FB"/>
    <w:rsid w:val="00943C0C"/>
    <w:rsid w:val="00944A05"/>
    <w:rsid w:val="00944B51"/>
    <w:rsid w:val="00944BEE"/>
    <w:rsid w:val="00945519"/>
    <w:rsid w:val="009458C5"/>
    <w:rsid w:val="00945F8E"/>
    <w:rsid w:val="009461B6"/>
    <w:rsid w:val="0094685A"/>
    <w:rsid w:val="00946AB8"/>
    <w:rsid w:val="00946ABA"/>
    <w:rsid w:val="00946AD4"/>
    <w:rsid w:val="00946BD9"/>
    <w:rsid w:val="00946D40"/>
    <w:rsid w:val="00946FB5"/>
    <w:rsid w:val="00947ACE"/>
    <w:rsid w:val="0095080D"/>
    <w:rsid w:val="00950A7D"/>
    <w:rsid w:val="00950C48"/>
    <w:rsid w:val="009514CB"/>
    <w:rsid w:val="00951AF8"/>
    <w:rsid w:val="00951CBE"/>
    <w:rsid w:val="00952183"/>
    <w:rsid w:val="00952B3E"/>
    <w:rsid w:val="00952C2E"/>
    <w:rsid w:val="00952E4E"/>
    <w:rsid w:val="00952FF6"/>
    <w:rsid w:val="00953BF0"/>
    <w:rsid w:val="0095418C"/>
    <w:rsid w:val="0095490C"/>
    <w:rsid w:val="00954A9E"/>
    <w:rsid w:val="009558F1"/>
    <w:rsid w:val="00955D40"/>
    <w:rsid w:val="00955E05"/>
    <w:rsid w:val="0095680B"/>
    <w:rsid w:val="00956824"/>
    <w:rsid w:val="00956904"/>
    <w:rsid w:val="00956B8A"/>
    <w:rsid w:val="00956B8D"/>
    <w:rsid w:val="00956C07"/>
    <w:rsid w:val="00956E32"/>
    <w:rsid w:val="00957144"/>
    <w:rsid w:val="009571DF"/>
    <w:rsid w:val="00957281"/>
    <w:rsid w:val="00957349"/>
    <w:rsid w:val="00957558"/>
    <w:rsid w:val="009576A7"/>
    <w:rsid w:val="00957B8B"/>
    <w:rsid w:val="00957F3C"/>
    <w:rsid w:val="009606F0"/>
    <w:rsid w:val="0096073F"/>
    <w:rsid w:val="00960B20"/>
    <w:rsid w:val="00960BC1"/>
    <w:rsid w:val="0096114D"/>
    <w:rsid w:val="0096123D"/>
    <w:rsid w:val="009613E1"/>
    <w:rsid w:val="00961744"/>
    <w:rsid w:val="0096186B"/>
    <w:rsid w:val="00961BFF"/>
    <w:rsid w:val="00961D67"/>
    <w:rsid w:val="00962121"/>
    <w:rsid w:val="00962B9C"/>
    <w:rsid w:val="00962F8A"/>
    <w:rsid w:val="00963128"/>
    <w:rsid w:val="00963576"/>
    <w:rsid w:val="009635BE"/>
    <w:rsid w:val="0096378A"/>
    <w:rsid w:val="009647AC"/>
    <w:rsid w:val="00964A84"/>
    <w:rsid w:val="00965085"/>
    <w:rsid w:val="0096568B"/>
    <w:rsid w:val="0096573A"/>
    <w:rsid w:val="00965A5A"/>
    <w:rsid w:val="0096627E"/>
    <w:rsid w:val="00966378"/>
    <w:rsid w:val="00966B14"/>
    <w:rsid w:val="00966CE9"/>
    <w:rsid w:val="009670AB"/>
    <w:rsid w:val="009670E1"/>
    <w:rsid w:val="0096742F"/>
    <w:rsid w:val="009678F0"/>
    <w:rsid w:val="00967E2D"/>
    <w:rsid w:val="00970126"/>
    <w:rsid w:val="009705ED"/>
    <w:rsid w:val="009706B8"/>
    <w:rsid w:val="00970AB8"/>
    <w:rsid w:val="00970EE1"/>
    <w:rsid w:val="009710B6"/>
    <w:rsid w:val="009711FC"/>
    <w:rsid w:val="00971335"/>
    <w:rsid w:val="00971AE3"/>
    <w:rsid w:val="00971CA1"/>
    <w:rsid w:val="00971ECC"/>
    <w:rsid w:val="009720FB"/>
    <w:rsid w:val="00972A8B"/>
    <w:rsid w:val="00972BB2"/>
    <w:rsid w:val="00972C6A"/>
    <w:rsid w:val="009732BA"/>
    <w:rsid w:val="009733F3"/>
    <w:rsid w:val="00973772"/>
    <w:rsid w:val="00973E63"/>
    <w:rsid w:val="00974195"/>
    <w:rsid w:val="009744AC"/>
    <w:rsid w:val="009749FD"/>
    <w:rsid w:val="00974FC5"/>
    <w:rsid w:val="009752D5"/>
    <w:rsid w:val="0097586B"/>
    <w:rsid w:val="00975D5C"/>
    <w:rsid w:val="00976081"/>
    <w:rsid w:val="00976239"/>
    <w:rsid w:val="00976431"/>
    <w:rsid w:val="009770E4"/>
    <w:rsid w:val="00977126"/>
    <w:rsid w:val="009777ED"/>
    <w:rsid w:val="00977A4D"/>
    <w:rsid w:val="00977A62"/>
    <w:rsid w:val="0098030A"/>
    <w:rsid w:val="009804C0"/>
    <w:rsid w:val="009804CA"/>
    <w:rsid w:val="00980A8C"/>
    <w:rsid w:val="00980B18"/>
    <w:rsid w:val="00981395"/>
    <w:rsid w:val="009814A9"/>
    <w:rsid w:val="009815AA"/>
    <w:rsid w:val="00981D3A"/>
    <w:rsid w:val="00981D81"/>
    <w:rsid w:val="00981F9D"/>
    <w:rsid w:val="009823CB"/>
    <w:rsid w:val="009824B5"/>
    <w:rsid w:val="0098266A"/>
    <w:rsid w:val="009830CF"/>
    <w:rsid w:val="0098312D"/>
    <w:rsid w:val="00983450"/>
    <w:rsid w:val="009834AA"/>
    <w:rsid w:val="009834F4"/>
    <w:rsid w:val="009835D8"/>
    <w:rsid w:val="00983AD2"/>
    <w:rsid w:val="00983AFB"/>
    <w:rsid w:val="00983B21"/>
    <w:rsid w:val="00983D62"/>
    <w:rsid w:val="00984236"/>
    <w:rsid w:val="0098585F"/>
    <w:rsid w:val="00985948"/>
    <w:rsid w:val="00985EF2"/>
    <w:rsid w:val="00986366"/>
    <w:rsid w:val="00986686"/>
    <w:rsid w:val="0098696F"/>
    <w:rsid w:val="00986B5F"/>
    <w:rsid w:val="00986EC5"/>
    <w:rsid w:val="00987146"/>
    <w:rsid w:val="0098738D"/>
    <w:rsid w:val="0098761D"/>
    <w:rsid w:val="00987739"/>
    <w:rsid w:val="00990342"/>
    <w:rsid w:val="00990FF9"/>
    <w:rsid w:val="00991599"/>
    <w:rsid w:val="00991706"/>
    <w:rsid w:val="00991F91"/>
    <w:rsid w:val="0099214A"/>
    <w:rsid w:val="00992481"/>
    <w:rsid w:val="009924AF"/>
    <w:rsid w:val="009924DC"/>
    <w:rsid w:val="0099259B"/>
    <w:rsid w:val="0099306F"/>
    <w:rsid w:val="0099313C"/>
    <w:rsid w:val="00993734"/>
    <w:rsid w:val="00993E27"/>
    <w:rsid w:val="00993E77"/>
    <w:rsid w:val="00994041"/>
    <w:rsid w:val="0099446F"/>
    <w:rsid w:val="0099476E"/>
    <w:rsid w:val="00995041"/>
    <w:rsid w:val="009951FC"/>
    <w:rsid w:val="009955A8"/>
    <w:rsid w:val="00995DA8"/>
    <w:rsid w:val="009965EF"/>
    <w:rsid w:val="00996E3D"/>
    <w:rsid w:val="00996F7B"/>
    <w:rsid w:val="009975C1"/>
    <w:rsid w:val="00997C2B"/>
    <w:rsid w:val="009A023A"/>
    <w:rsid w:val="009A05F0"/>
    <w:rsid w:val="009A0A86"/>
    <w:rsid w:val="009A0E8C"/>
    <w:rsid w:val="009A113E"/>
    <w:rsid w:val="009A2223"/>
    <w:rsid w:val="009A27C7"/>
    <w:rsid w:val="009A2B32"/>
    <w:rsid w:val="009A3088"/>
    <w:rsid w:val="009A327B"/>
    <w:rsid w:val="009A3428"/>
    <w:rsid w:val="009A3449"/>
    <w:rsid w:val="009A38C3"/>
    <w:rsid w:val="009A43AB"/>
    <w:rsid w:val="009A585C"/>
    <w:rsid w:val="009A5983"/>
    <w:rsid w:val="009A5B54"/>
    <w:rsid w:val="009A5F87"/>
    <w:rsid w:val="009A6954"/>
    <w:rsid w:val="009A6996"/>
    <w:rsid w:val="009A6F73"/>
    <w:rsid w:val="009A71FE"/>
    <w:rsid w:val="009A7416"/>
    <w:rsid w:val="009A7C8D"/>
    <w:rsid w:val="009A7D84"/>
    <w:rsid w:val="009A7F2B"/>
    <w:rsid w:val="009A7F57"/>
    <w:rsid w:val="009A7FF0"/>
    <w:rsid w:val="009B00A8"/>
    <w:rsid w:val="009B029D"/>
    <w:rsid w:val="009B0741"/>
    <w:rsid w:val="009B1207"/>
    <w:rsid w:val="009B13A3"/>
    <w:rsid w:val="009B14B0"/>
    <w:rsid w:val="009B156B"/>
    <w:rsid w:val="009B165E"/>
    <w:rsid w:val="009B1A86"/>
    <w:rsid w:val="009B1D22"/>
    <w:rsid w:val="009B1D98"/>
    <w:rsid w:val="009B21B3"/>
    <w:rsid w:val="009B24F7"/>
    <w:rsid w:val="009B27F0"/>
    <w:rsid w:val="009B399D"/>
    <w:rsid w:val="009B3A50"/>
    <w:rsid w:val="009B3BF7"/>
    <w:rsid w:val="009B3FCC"/>
    <w:rsid w:val="009B493C"/>
    <w:rsid w:val="009B4976"/>
    <w:rsid w:val="009B4AFE"/>
    <w:rsid w:val="009B4DBB"/>
    <w:rsid w:val="009B529A"/>
    <w:rsid w:val="009B584B"/>
    <w:rsid w:val="009B584D"/>
    <w:rsid w:val="009B58B9"/>
    <w:rsid w:val="009B5A7A"/>
    <w:rsid w:val="009B5B07"/>
    <w:rsid w:val="009B5D79"/>
    <w:rsid w:val="009B5F96"/>
    <w:rsid w:val="009B5FAA"/>
    <w:rsid w:val="009B6447"/>
    <w:rsid w:val="009B649E"/>
    <w:rsid w:val="009B6D39"/>
    <w:rsid w:val="009B6F47"/>
    <w:rsid w:val="009B70AE"/>
    <w:rsid w:val="009B70D2"/>
    <w:rsid w:val="009B74CA"/>
    <w:rsid w:val="009B7607"/>
    <w:rsid w:val="009B77F6"/>
    <w:rsid w:val="009B7A6A"/>
    <w:rsid w:val="009B7A93"/>
    <w:rsid w:val="009B7CA1"/>
    <w:rsid w:val="009B7CAB"/>
    <w:rsid w:val="009B7E06"/>
    <w:rsid w:val="009C017F"/>
    <w:rsid w:val="009C02A6"/>
    <w:rsid w:val="009C0767"/>
    <w:rsid w:val="009C0CFF"/>
    <w:rsid w:val="009C0E0D"/>
    <w:rsid w:val="009C0E18"/>
    <w:rsid w:val="009C1028"/>
    <w:rsid w:val="009C11B1"/>
    <w:rsid w:val="009C19CF"/>
    <w:rsid w:val="009C1A0C"/>
    <w:rsid w:val="009C1C97"/>
    <w:rsid w:val="009C1D7A"/>
    <w:rsid w:val="009C1F63"/>
    <w:rsid w:val="009C3273"/>
    <w:rsid w:val="009C34FA"/>
    <w:rsid w:val="009C3C04"/>
    <w:rsid w:val="009C5070"/>
    <w:rsid w:val="009C5188"/>
    <w:rsid w:val="009C53D2"/>
    <w:rsid w:val="009C56D3"/>
    <w:rsid w:val="009C56E2"/>
    <w:rsid w:val="009C570E"/>
    <w:rsid w:val="009C597D"/>
    <w:rsid w:val="009C5FFC"/>
    <w:rsid w:val="009C6361"/>
    <w:rsid w:val="009C64CF"/>
    <w:rsid w:val="009C6AAF"/>
    <w:rsid w:val="009C6F69"/>
    <w:rsid w:val="009C77C3"/>
    <w:rsid w:val="009C7980"/>
    <w:rsid w:val="009C7C16"/>
    <w:rsid w:val="009C7D48"/>
    <w:rsid w:val="009D0463"/>
    <w:rsid w:val="009D0502"/>
    <w:rsid w:val="009D0712"/>
    <w:rsid w:val="009D07B9"/>
    <w:rsid w:val="009D0C2F"/>
    <w:rsid w:val="009D0DF1"/>
    <w:rsid w:val="009D18D7"/>
    <w:rsid w:val="009D1AB3"/>
    <w:rsid w:val="009D1DA1"/>
    <w:rsid w:val="009D1E42"/>
    <w:rsid w:val="009D1E6D"/>
    <w:rsid w:val="009D2139"/>
    <w:rsid w:val="009D221C"/>
    <w:rsid w:val="009D2280"/>
    <w:rsid w:val="009D2283"/>
    <w:rsid w:val="009D3439"/>
    <w:rsid w:val="009D3BA4"/>
    <w:rsid w:val="009D3F98"/>
    <w:rsid w:val="009D52AB"/>
    <w:rsid w:val="009D56F6"/>
    <w:rsid w:val="009D5B1A"/>
    <w:rsid w:val="009D5B23"/>
    <w:rsid w:val="009D5E73"/>
    <w:rsid w:val="009D6380"/>
    <w:rsid w:val="009D65E5"/>
    <w:rsid w:val="009D68C6"/>
    <w:rsid w:val="009D6E4E"/>
    <w:rsid w:val="009D74C5"/>
    <w:rsid w:val="009D7C88"/>
    <w:rsid w:val="009D7FB2"/>
    <w:rsid w:val="009E0821"/>
    <w:rsid w:val="009E0B8F"/>
    <w:rsid w:val="009E0DF4"/>
    <w:rsid w:val="009E1035"/>
    <w:rsid w:val="009E103C"/>
    <w:rsid w:val="009E128D"/>
    <w:rsid w:val="009E17C1"/>
    <w:rsid w:val="009E23FA"/>
    <w:rsid w:val="009E2A48"/>
    <w:rsid w:val="009E31AD"/>
    <w:rsid w:val="009E330E"/>
    <w:rsid w:val="009E331D"/>
    <w:rsid w:val="009E33D9"/>
    <w:rsid w:val="009E3B55"/>
    <w:rsid w:val="009E3EFE"/>
    <w:rsid w:val="009E4009"/>
    <w:rsid w:val="009E44E9"/>
    <w:rsid w:val="009E4619"/>
    <w:rsid w:val="009E4644"/>
    <w:rsid w:val="009E4723"/>
    <w:rsid w:val="009E481D"/>
    <w:rsid w:val="009E4B16"/>
    <w:rsid w:val="009E4BB4"/>
    <w:rsid w:val="009E4F6C"/>
    <w:rsid w:val="009E5521"/>
    <w:rsid w:val="009E57BD"/>
    <w:rsid w:val="009E6287"/>
    <w:rsid w:val="009E6540"/>
    <w:rsid w:val="009E6AD1"/>
    <w:rsid w:val="009E72A2"/>
    <w:rsid w:val="009E7A15"/>
    <w:rsid w:val="009E7F3B"/>
    <w:rsid w:val="009F0240"/>
    <w:rsid w:val="009F0643"/>
    <w:rsid w:val="009F0F5A"/>
    <w:rsid w:val="009F14E9"/>
    <w:rsid w:val="009F1640"/>
    <w:rsid w:val="009F16E1"/>
    <w:rsid w:val="009F1AAF"/>
    <w:rsid w:val="009F1B9B"/>
    <w:rsid w:val="009F2661"/>
    <w:rsid w:val="009F29A2"/>
    <w:rsid w:val="009F2D1A"/>
    <w:rsid w:val="009F2FC3"/>
    <w:rsid w:val="009F33D4"/>
    <w:rsid w:val="009F3D58"/>
    <w:rsid w:val="009F3EBE"/>
    <w:rsid w:val="009F42B5"/>
    <w:rsid w:val="009F4578"/>
    <w:rsid w:val="009F4E19"/>
    <w:rsid w:val="009F4F62"/>
    <w:rsid w:val="009F55B7"/>
    <w:rsid w:val="009F56AB"/>
    <w:rsid w:val="009F5C79"/>
    <w:rsid w:val="009F5E0C"/>
    <w:rsid w:val="009F6229"/>
    <w:rsid w:val="009F62B4"/>
    <w:rsid w:val="009F666D"/>
    <w:rsid w:val="009F7178"/>
    <w:rsid w:val="009F74F1"/>
    <w:rsid w:val="00A00955"/>
    <w:rsid w:val="00A00982"/>
    <w:rsid w:val="00A01343"/>
    <w:rsid w:val="00A013C2"/>
    <w:rsid w:val="00A016AE"/>
    <w:rsid w:val="00A019AC"/>
    <w:rsid w:val="00A02295"/>
    <w:rsid w:val="00A02B85"/>
    <w:rsid w:val="00A036B1"/>
    <w:rsid w:val="00A0375A"/>
    <w:rsid w:val="00A03821"/>
    <w:rsid w:val="00A03AC3"/>
    <w:rsid w:val="00A03B89"/>
    <w:rsid w:val="00A04F82"/>
    <w:rsid w:val="00A050BB"/>
    <w:rsid w:val="00A0550B"/>
    <w:rsid w:val="00A05681"/>
    <w:rsid w:val="00A05C16"/>
    <w:rsid w:val="00A05D10"/>
    <w:rsid w:val="00A0603F"/>
    <w:rsid w:val="00A060A1"/>
    <w:rsid w:val="00A06399"/>
    <w:rsid w:val="00A06445"/>
    <w:rsid w:val="00A06B0E"/>
    <w:rsid w:val="00A06C92"/>
    <w:rsid w:val="00A07232"/>
    <w:rsid w:val="00A07773"/>
    <w:rsid w:val="00A07BED"/>
    <w:rsid w:val="00A07C8C"/>
    <w:rsid w:val="00A07F74"/>
    <w:rsid w:val="00A102CE"/>
    <w:rsid w:val="00A10488"/>
    <w:rsid w:val="00A107DF"/>
    <w:rsid w:val="00A1080E"/>
    <w:rsid w:val="00A10912"/>
    <w:rsid w:val="00A114F5"/>
    <w:rsid w:val="00A11708"/>
    <w:rsid w:val="00A11B7A"/>
    <w:rsid w:val="00A11EA8"/>
    <w:rsid w:val="00A12040"/>
    <w:rsid w:val="00A125DB"/>
    <w:rsid w:val="00A125FF"/>
    <w:rsid w:val="00A12C43"/>
    <w:rsid w:val="00A12D96"/>
    <w:rsid w:val="00A135CC"/>
    <w:rsid w:val="00A139BF"/>
    <w:rsid w:val="00A14415"/>
    <w:rsid w:val="00A14864"/>
    <w:rsid w:val="00A14C38"/>
    <w:rsid w:val="00A14C8A"/>
    <w:rsid w:val="00A15642"/>
    <w:rsid w:val="00A156E3"/>
    <w:rsid w:val="00A1597F"/>
    <w:rsid w:val="00A159F4"/>
    <w:rsid w:val="00A15C80"/>
    <w:rsid w:val="00A160D2"/>
    <w:rsid w:val="00A16126"/>
    <w:rsid w:val="00A164BE"/>
    <w:rsid w:val="00A17337"/>
    <w:rsid w:val="00A17541"/>
    <w:rsid w:val="00A177E0"/>
    <w:rsid w:val="00A20144"/>
    <w:rsid w:val="00A20438"/>
    <w:rsid w:val="00A208BF"/>
    <w:rsid w:val="00A20CD8"/>
    <w:rsid w:val="00A2122D"/>
    <w:rsid w:val="00A21349"/>
    <w:rsid w:val="00A2153E"/>
    <w:rsid w:val="00A2166A"/>
    <w:rsid w:val="00A21AF5"/>
    <w:rsid w:val="00A21B52"/>
    <w:rsid w:val="00A2218F"/>
    <w:rsid w:val="00A22A59"/>
    <w:rsid w:val="00A233FA"/>
    <w:rsid w:val="00A235F1"/>
    <w:rsid w:val="00A235FF"/>
    <w:rsid w:val="00A2366C"/>
    <w:rsid w:val="00A23677"/>
    <w:rsid w:val="00A237A9"/>
    <w:rsid w:val="00A24175"/>
    <w:rsid w:val="00A2422D"/>
    <w:rsid w:val="00A2448D"/>
    <w:rsid w:val="00A24551"/>
    <w:rsid w:val="00A24621"/>
    <w:rsid w:val="00A24B54"/>
    <w:rsid w:val="00A24E8C"/>
    <w:rsid w:val="00A25110"/>
    <w:rsid w:val="00A25235"/>
    <w:rsid w:val="00A2532E"/>
    <w:rsid w:val="00A25486"/>
    <w:rsid w:val="00A25F7E"/>
    <w:rsid w:val="00A26776"/>
    <w:rsid w:val="00A269CD"/>
    <w:rsid w:val="00A271DF"/>
    <w:rsid w:val="00A2733A"/>
    <w:rsid w:val="00A27416"/>
    <w:rsid w:val="00A27726"/>
    <w:rsid w:val="00A3083D"/>
    <w:rsid w:val="00A30E5B"/>
    <w:rsid w:val="00A317DC"/>
    <w:rsid w:val="00A31BA1"/>
    <w:rsid w:val="00A31BF7"/>
    <w:rsid w:val="00A31F64"/>
    <w:rsid w:val="00A31FBB"/>
    <w:rsid w:val="00A32240"/>
    <w:rsid w:val="00A3300E"/>
    <w:rsid w:val="00A3321E"/>
    <w:rsid w:val="00A33642"/>
    <w:rsid w:val="00A33695"/>
    <w:rsid w:val="00A337BB"/>
    <w:rsid w:val="00A3397D"/>
    <w:rsid w:val="00A33BB2"/>
    <w:rsid w:val="00A33DE3"/>
    <w:rsid w:val="00A34218"/>
    <w:rsid w:val="00A343FA"/>
    <w:rsid w:val="00A3519D"/>
    <w:rsid w:val="00A353E6"/>
    <w:rsid w:val="00A35812"/>
    <w:rsid w:val="00A361B2"/>
    <w:rsid w:val="00A3648A"/>
    <w:rsid w:val="00A36662"/>
    <w:rsid w:val="00A36850"/>
    <w:rsid w:val="00A37EBF"/>
    <w:rsid w:val="00A37F16"/>
    <w:rsid w:val="00A37F93"/>
    <w:rsid w:val="00A4022F"/>
    <w:rsid w:val="00A40234"/>
    <w:rsid w:val="00A40905"/>
    <w:rsid w:val="00A40DC0"/>
    <w:rsid w:val="00A416E1"/>
    <w:rsid w:val="00A41884"/>
    <w:rsid w:val="00A41BA6"/>
    <w:rsid w:val="00A425B2"/>
    <w:rsid w:val="00A425CD"/>
    <w:rsid w:val="00A429DE"/>
    <w:rsid w:val="00A42F58"/>
    <w:rsid w:val="00A43512"/>
    <w:rsid w:val="00A43BE8"/>
    <w:rsid w:val="00A43CC6"/>
    <w:rsid w:val="00A45309"/>
    <w:rsid w:val="00A454DA"/>
    <w:rsid w:val="00A45654"/>
    <w:rsid w:val="00A45B2B"/>
    <w:rsid w:val="00A45DDD"/>
    <w:rsid w:val="00A460A1"/>
    <w:rsid w:val="00A46152"/>
    <w:rsid w:val="00A461A3"/>
    <w:rsid w:val="00A469F7"/>
    <w:rsid w:val="00A46F31"/>
    <w:rsid w:val="00A47CBC"/>
    <w:rsid w:val="00A47EAD"/>
    <w:rsid w:val="00A50131"/>
    <w:rsid w:val="00A504C9"/>
    <w:rsid w:val="00A508F3"/>
    <w:rsid w:val="00A50DBE"/>
    <w:rsid w:val="00A5141B"/>
    <w:rsid w:val="00A51782"/>
    <w:rsid w:val="00A517AE"/>
    <w:rsid w:val="00A51A0F"/>
    <w:rsid w:val="00A51B54"/>
    <w:rsid w:val="00A523A1"/>
    <w:rsid w:val="00A523C4"/>
    <w:rsid w:val="00A525F9"/>
    <w:rsid w:val="00A526B8"/>
    <w:rsid w:val="00A535D5"/>
    <w:rsid w:val="00A539F7"/>
    <w:rsid w:val="00A53A08"/>
    <w:rsid w:val="00A53A7F"/>
    <w:rsid w:val="00A542DC"/>
    <w:rsid w:val="00A54316"/>
    <w:rsid w:val="00A5457D"/>
    <w:rsid w:val="00A54590"/>
    <w:rsid w:val="00A54849"/>
    <w:rsid w:val="00A54A64"/>
    <w:rsid w:val="00A54CDF"/>
    <w:rsid w:val="00A54E9F"/>
    <w:rsid w:val="00A5531F"/>
    <w:rsid w:val="00A5551E"/>
    <w:rsid w:val="00A55598"/>
    <w:rsid w:val="00A555C4"/>
    <w:rsid w:val="00A56075"/>
    <w:rsid w:val="00A570EE"/>
    <w:rsid w:val="00A57A04"/>
    <w:rsid w:val="00A6029E"/>
    <w:rsid w:val="00A60810"/>
    <w:rsid w:val="00A61B10"/>
    <w:rsid w:val="00A61BE5"/>
    <w:rsid w:val="00A62221"/>
    <w:rsid w:val="00A62411"/>
    <w:rsid w:val="00A6248D"/>
    <w:rsid w:val="00A626CF"/>
    <w:rsid w:val="00A62D5C"/>
    <w:rsid w:val="00A62E2B"/>
    <w:rsid w:val="00A62E6A"/>
    <w:rsid w:val="00A63284"/>
    <w:rsid w:val="00A633EF"/>
    <w:rsid w:val="00A639A1"/>
    <w:rsid w:val="00A647AF"/>
    <w:rsid w:val="00A6491C"/>
    <w:rsid w:val="00A6493C"/>
    <w:rsid w:val="00A64B41"/>
    <w:rsid w:val="00A655FB"/>
    <w:rsid w:val="00A65748"/>
    <w:rsid w:val="00A65A70"/>
    <w:rsid w:val="00A65EBF"/>
    <w:rsid w:val="00A666D9"/>
    <w:rsid w:val="00A66BC2"/>
    <w:rsid w:val="00A66C3D"/>
    <w:rsid w:val="00A6714F"/>
    <w:rsid w:val="00A67492"/>
    <w:rsid w:val="00A67764"/>
    <w:rsid w:val="00A6788F"/>
    <w:rsid w:val="00A67D88"/>
    <w:rsid w:val="00A67E70"/>
    <w:rsid w:val="00A67ECB"/>
    <w:rsid w:val="00A702DB"/>
    <w:rsid w:val="00A70375"/>
    <w:rsid w:val="00A70491"/>
    <w:rsid w:val="00A7065C"/>
    <w:rsid w:val="00A70B1B"/>
    <w:rsid w:val="00A70B62"/>
    <w:rsid w:val="00A70F68"/>
    <w:rsid w:val="00A711CC"/>
    <w:rsid w:val="00A71A31"/>
    <w:rsid w:val="00A72E1E"/>
    <w:rsid w:val="00A72F63"/>
    <w:rsid w:val="00A732B9"/>
    <w:rsid w:val="00A7444E"/>
    <w:rsid w:val="00A75212"/>
    <w:rsid w:val="00A75548"/>
    <w:rsid w:val="00A757FF"/>
    <w:rsid w:val="00A759B0"/>
    <w:rsid w:val="00A75FB2"/>
    <w:rsid w:val="00A76806"/>
    <w:rsid w:val="00A7794B"/>
    <w:rsid w:val="00A80417"/>
    <w:rsid w:val="00A807AC"/>
    <w:rsid w:val="00A808F5"/>
    <w:rsid w:val="00A81507"/>
    <w:rsid w:val="00A81D22"/>
    <w:rsid w:val="00A82977"/>
    <w:rsid w:val="00A83398"/>
    <w:rsid w:val="00A8363D"/>
    <w:rsid w:val="00A83D15"/>
    <w:rsid w:val="00A83E5D"/>
    <w:rsid w:val="00A84A7B"/>
    <w:rsid w:val="00A84F90"/>
    <w:rsid w:val="00A85665"/>
    <w:rsid w:val="00A85672"/>
    <w:rsid w:val="00A857FE"/>
    <w:rsid w:val="00A85B96"/>
    <w:rsid w:val="00A85E55"/>
    <w:rsid w:val="00A85FA4"/>
    <w:rsid w:val="00A864ED"/>
    <w:rsid w:val="00A8662B"/>
    <w:rsid w:val="00A8668A"/>
    <w:rsid w:val="00A866BB"/>
    <w:rsid w:val="00A8694F"/>
    <w:rsid w:val="00A86BFE"/>
    <w:rsid w:val="00A86C6A"/>
    <w:rsid w:val="00A86E2B"/>
    <w:rsid w:val="00A872F5"/>
    <w:rsid w:val="00A8737C"/>
    <w:rsid w:val="00A874D4"/>
    <w:rsid w:val="00A87516"/>
    <w:rsid w:val="00A875E8"/>
    <w:rsid w:val="00A87732"/>
    <w:rsid w:val="00A87866"/>
    <w:rsid w:val="00A87988"/>
    <w:rsid w:val="00A87A37"/>
    <w:rsid w:val="00A87C0A"/>
    <w:rsid w:val="00A90093"/>
    <w:rsid w:val="00A9021E"/>
    <w:rsid w:val="00A90573"/>
    <w:rsid w:val="00A909EB"/>
    <w:rsid w:val="00A90EA7"/>
    <w:rsid w:val="00A91129"/>
    <w:rsid w:val="00A914A9"/>
    <w:rsid w:val="00A91B9A"/>
    <w:rsid w:val="00A91E30"/>
    <w:rsid w:val="00A921C8"/>
    <w:rsid w:val="00A924F1"/>
    <w:rsid w:val="00A92B4A"/>
    <w:rsid w:val="00A92BE2"/>
    <w:rsid w:val="00A93082"/>
    <w:rsid w:val="00A93218"/>
    <w:rsid w:val="00A93632"/>
    <w:rsid w:val="00A936A3"/>
    <w:rsid w:val="00A93707"/>
    <w:rsid w:val="00A93AD2"/>
    <w:rsid w:val="00A9433B"/>
    <w:rsid w:val="00A94B6D"/>
    <w:rsid w:val="00A952EB"/>
    <w:rsid w:val="00A9535A"/>
    <w:rsid w:val="00A955F7"/>
    <w:rsid w:val="00A9618A"/>
    <w:rsid w:val="00A961AC"/>
    <w:rsid w:val="00A9620A"/>
    <w:rsid w:val="00A9629F"/>
    <w:rsid w:val="00A96AA2"/>
    <w:rsid w:val="00A96B36"/>
    <w:rsid w:val="00A96BE9"/>
    <w:rsid w:val="00A973A9"/>
    <w:rsid w:val="00A97A49"/>
    <w:rsid w:val="00A97B4A"/>
    <w:rsid w:val="00A97CF9"/>
    <w:rsid w:val="00A97E4B"/>
    <w:rsid w:val="00AA0094"/>
    <w:rsid w:val="00AA0668"/>
    <w:rsid w:val="00AA1436"/>
    <w:rsid w:val="00AA179F"/>
    <w:rsid w:val="00AA1EF4"/>
    <w:rsid w:val="00AA21BD"/>
    <w:rsid w:val="00AA2227"/>
    <w:rsid w:val="00AA2634"/>
    <w:rsid w:val="00AA27A3"/>
    <w:rsid w:val="00AA2857"/>
    <w:rsid w:val="00AA29D6"/>
    <w:rsid w:val="00AA36BA"/>
    <w:rsid w:val="00AA37FD"/>
    <w:rsid w:val="00AA3865"/>
    <w:rsid w:val="00AA3CC7"/>
    <w:rsid w:val="00AA492F"/>
    <w:rsid w:val="00AA5B60"/>
    <w:rsid w:val="00AA64DA"/>
    <w:rsid w:val="00AA69F4"/>
    <w:rsid w:val="00AA69F9"/>
    <w:rsid w:val="00AA6ACD"/>
    <w:rsid w:val="00AA6FA6"/>
    <w:rsid w:val="00AA7896"/>
    <w:rsid w:val="00AA7BBB"/>
    <w:rsid w:val="00AA7ED7"/>
    <w:rsid w:val="00AB0814"/>
    <w:rsid w:val="00AB0963"/>
    <w:rsid w:val="00AB0E01"/>
    <w:rsid w:val="00AB0E47"/>
    <w:rsid w:val="00AB1011"/>
    <w:rsid w:val="00AB1180"/>
    <w:rsid w:val="00AB13CD"/>
    <w:rsid w:val="00AB157F"/>
    <w:rsid w:val="00AB16A9"/>
    <w:rsid w:val="00AB1A2A"/>
    <w:rsid w:val="00AB1B94"/>
    <w:rsid w:val="00AB1BA0"/>
    <w:rsid w:val="00AB2C44"/>
    <w:rsid w:val="00AB34B6"/>
    <w:rsid w:val="00AB379F"/>
    <w:rsid w:val="00AB38D8"/>
    <w:rsid w:val="00AB38E6"/>
    <w:rsid w:val="00AB3D8F"/>
    <w:rsid w:val="00AB40B5"/>
    <w:rsid w:val="00AB479F"/>
    <w:rsid w:val="00AB47F4"/>
    <w:rsid w:val="00AB4A93"/>
    <w:rsid w:val="00AB556E"/>
    <w:rsid w:val="00AB5D4E"/>
    <w:rsid w:val="00AB6A22"/>
    <w:rsid w:val="00AB6BFF"/>
    <w:rsid w:val="00AB6C45"/>
    <w:rsid w:val="00AB6DB1"/>
    <w:rsid w:val="00AB6ED4"/>
    <w:rsid w:val="00AB728A"/>
    <w:rsid w:val="00AB7A5D"/>
    <w:rsid w:val="00AB7E37"/>
    <w:rsid w:val="00AB7FCE"/>
    <w:rsid w:val="00AC0161"/>
    <w:rsid w:val="00AC0694"/>
    <w:rsid w:val="00AC0904"/>
    <w:rsid w:val="00AC0940"/>
    <w:rsid w:val="00AC1300"/>
    <w:rsid w:val="00AC13D0"/>
    <w:rsid w:val="00AC1BF6"/>
    <w:rsid w:val="00AC1CD4"/>
    <w:rsid w:val="00AC1CED"/>
    <w:rsid w:val="00AC29CA"/>
    <w:rsid w:val="00AC2BA5"/>
    <w:rsid w:val="00AC3857"/>
    <w:rsid w:val="00AC390E"/>
    <w:rsid w:val="00AC3CF8"/>
    <w:rsid w:val="00AC493C"/>
    <w:rsid w:val="00AC49F4"/>
    <w:rsid w:val="00AC504F"/>
    <w:rsid w:val="00AC5284"/>
    <w:rsid w:val="00AC55EA"/>
    <w:rsid w:val="00AC5634"/>
    <w:rsid w:val="00AC5909"/>
    <w:rsid w:val="00AC5BC0"/>
    <w:rsid w:val="00AC6163"/>
    <w:rsid w:val="00AC6172"/>
    <w:rsid w:val="00AC6C77"/>
    <w:rsid w:val="00AC6D54"/>
    <w:rsid w:val="00AC6D78"/>
    <w:rsid w:val="00AC7990"/>
    <w:rsid w:val="00AD00E1"/>
    <w:rsid w:val="00AD0195"/>
    <w:rsid w:val="00AD01AD"/>
    <w:rsid w:val="00AD0457"/>
    <w:rsid w:val="00AD1194"/>
    <w:rsid w:val="00AD13CA"/>
    <w:rsid w:val="00AD13CB"/>
    <w:rsid w:val="00AD18B4"/>
    <w:rsid w:val="00AD1F30"/>
    <w:rsid w:val="00AD2126"/>
    <w:rsid w:val="00AD249B"/>
    <w:rsid w:val="00AD28C1"/>
    <w:rsid w:val="00AD3192"/>
    <w:rsid w:val="00AD32F5"/>
    <w:rsid w:val="00AD359F"/>
    <w:rsid w:val="00AD38A7"/>
    <w:rsid w:val="00AD3D9D"/>
    <w:rsid w:val="00AD3F2A"/>
    <w:rsid w:val="00AD5F33"/>
    <w:rsid w:val="00AD6907"/>
    <w:rsid w:val="00AD6939"/>
    <w:rsid w:val="00AD6DE8"/>
    <w:rsid w:val="00AD6FFE"/>
    <w:rsid w:val="00AD71AC"/>
    <w:rsid w:val="00AD746B"/>
    <w:rsid w:val="00AD7660"/>
    <w:rsid w:val="00AD7AF2"/>
    <w:rsid w:val="00AD7D6D"/>
    <w:rsid w:val="00AD7EE2"/>
    <w:rsid w:val="00AE036C"/>
    <w:rsid w:val="00AE0F52"/>
    <w:rsid w:val="00AE1512"/>
    <w:rsid w:val="00AE2824"/>
    <w:rsid w:val="00AE2FB8"/>
    <w:rsid w:val="00AE303E"/>
    <w:rsid w:val="00AE4112"/>
    <w:rsid w:val="00AE4954"/>
    <w:rsid w:val="00AE4B45"/>
    <w:rsid w:val="00AE4D72"/>
    <w:rsid w:val="00AE4EC5"/>
    <w:rsid w:val="00AE50A6"/>
    <w:rsid w:val="00AE52CC"/>
    <w:rsid w:val="00AE663E"/>
    <w:rsid w:val="00AE6FAE"/>
    <w:rsid w:val="00AE75DD"/>
    <w:rsid w:val="00AE7B67"/>
    <w:rsid w:val="00AF05E2"/>
    <w:rsid w:val="00AF0E6D"/>
    <w:rsid w:val="00AF0F6A"/>
    <w:rsid w:val="00AF1788"/>
    <w:rsid w:val="00AF1A97"/>
    <w:rsid w:val="00AF1AC5"/>
    <w:rsid w:val="00AF21B7"/>
    <w:rsid w:val="00AF2793"/>
    <w:rsid w:val="00AF282D"/>
    <w:rsid w:val="00AF2D16"/>
    <w:rsid w:val="00AF3460"/>
    <w:rsid w:val="00AF367A"/>
    <w:rsid w:val="00AF3991"/>
    <w:rsid w:val="00AF4A3D"/>
    <w:rsid w:val="00AF4B85"/>
    <w:rsid w:val="00AF4DF9"/>
    <w:rsid w:val="00AF51AF"/>
    <w:rsid w:val="00AF5416"/>
    <w:rsid w:val="00AF581C"/>
    <w:rsid w:val="00AF5B21"/>
    <w:rsid w:val="00AF5B91"/>
    <w:rsid w:val="00AF606D"/>
    <w:rsid w:val="00AF6A66"/>
    <w:rsid w:val="00AF6A68"/>
    <w:rsid w:val="00AF6EA3"/>
    <w:rsid w:val="00AF6FCB"/>
    <w:rsid w:val="00AF70A1"/>
    <w:rsid w:val="00AF7155"/>
    <w:rsid w:val="00B00654"/>
    <w:rsid w:val="00B00973"/>
    <w:rsid w:val="00B00CA0"/>
    <w:rsid w:val="00B00F98"/>
    <w:rsid w:val="00B01003"/>
    <w:rsid w:val="00B01496"/>
    <w:rsid w:val="00B02847"/>
    <w:rsid w:val="00B02FBD"/>
    <w:rsid w:val="00B031E0"/>
    <w:rsid w:val="00B03BCC"/>
    <w:rsid w:val="00B04270"/>
    <w:rsid w:val="00B04DC7"/>
    <w:rsid w:val="00B05032"/>
    <w:rsid w:val="00B05038"/>
    <w:rsid w:val="00B05146"/>
    <w:rsid w:val="00B051D2"/>
    <w:rsid w:val="00B052AE"/>
    <w:rsid w:val="00B0545D"/>
    <w:rsid w:val="00B056F7"/>
    <w:rsid w:val="00B05839"/>
    <w:rsid w:val="00B05990"/>
    <w:rsid w:val="00B05C4A"/>
    <w:rsid w:val="00B062F7"/>
    <w:rsid w:val="00B06620"/>
    <w:rsid w:val="00B069A2"/>
    <w:rsid w:val="00B06ACA"/>
    <w:rsid w:val="00B06C44"/>
    <w:rsid w:val="00B06DE8"/>
    <w:rsid w:val="00B07162"/>
    <w:rsid w:val="00B0775A"/>
    <w:rsid w:val="00B103DB"/>
    <w:rsid w:val="00B10BF4"/>
    <w:rsid w:val="00B10EE1"/>
    <w:rsid w:val="00B10F8C"/>
    <w:rsid w:val="00B117A5"/>
    <w:rsid w:val="00B11BB0"/>
    <w:rsid w:val="00B12227"/>
    <w:rsid w:val="00B12622"/>
    <w:rsid w:val="00B1265F"/>
    <w:rsid w:val="00B1271B"/>
    <w:rsid w:val="00B12C25"/>
    <w:rsid w:val="00B12E96"/>
    <w:rsid w:val="00B13572"/>
    <w:rsid w:val="00B13DAA"/>
    <w:rsid w:val="00B13FE1"/>
    <w:rsid w:val="00B14649"/>
    <w:rsid w:val="00B14EDE"/>
    <w:rsid w:val="00B150A2"/>
    <w:rsid w:val="00B15274"/>
    <w:rsid w:val="00B15279"/>
    <w:rsid w:val="00B15541"/>
    <w:rsid w:val="00B15EC5"/>
    <w:rsid w:val="00B16197"/>
    <w:rsid w:val="00B16847"/>
    <w:rsid w:val="00B169FE"/>
    <w:rsid w:val="00B16A4B"/>
    <w:rsid w:val="00B17766"/>
    <w:rsid w:val="00B17CE8"/>
    <w:rsid w:val="00B21830"/>
    <w:rsid w:val="00B21D1E"/>
    <w:rsid w:val="00B222DC"/>
    <w:rsid w:val="00B225F6"/>
    <w:rsid w:val="00B22861"/>
    <w:rsid w:val="00B22F3A"/>
    <w:rsid w:val="00B22FE4"/>
    <w:rsid w:val="00B23137"/>
    <w:rsid w:val="00B2350C"/>
    <w:rsid w:val="00B239B1"/>
    <w:rsid w:val="00B23E61"/>
    <w:rsid w:val="00B23F18"/>
    <w:rsid w:val="00B240FD"/>
    <w:rsid w:val="00B24187"/>
    <w:rsid w:val="00B24233"/>
    <w:rsid w:val="00B24F21"/>
    <w:rsid w:val="00B25692"/>
    <w:rsid w:val="00B256EE"/>
    <w:rsid w:val="00B25859"/>
    <w:rsid w:val="00B25893"/>
    <w:rsid w:val="00B258CF"/>
    <w:rsid w:val="00B25D18"/>
    <w:rsid w:val="00B25D27"/>
    <w:rsid w:val="00B25EB8"/>
    <w:rsid w:val="00B263D8"/>
    <w:rsid w:val="00B26DA2"/>
    <w:rsid w:val="00B26E95"/>
    <w:rsid w:val="00B26F4C"/>
    <w:rsid w:val="00B27011"/>
    <w:rsid w:val="00B27038"/>
    <w:rsid w:val="00B271E1"/>
    <w:rsid w:val="00B27438"/>
    <w:rsid w:val="00B2792B"/>
    <w:rsid w:val="00B301B6"/>
    <w:rsid w:val="00B30914"/>
    <w:rsid w:val="00B30D61"/>
    <w:rsid w:val="00B31021"/>
    <w:rsid w:val="00B314E2"/>
    <w:rsid w:val="00B31E6F"/>
    <w:rsid w:val="00B32088"/>
    <w:rsid w:val="00B32426"/>
    <w:rsid w:val="00B32761"/>
    <w:rsid w:val="00B3287C"/>
    <w:rsid w:val="00B32897"/>
    <w:rsid w:val="00B32924"/>
    <w:rsid w:val="00B32A65"/>
    <w:rsid w:val="00B32B24"/>
    <w:rsid w:val="00B33085"/>
    <w:rsid w:val="00B33579"/>
    <w:rsid w:val="00B33A88"/>
    <w:rsid w:val="00B33E34"/>
    <w:rsid w:val="00B343A0"/>
    <w:rsid w:val="00B345AA"/>
    <w:rsid w:val="00B34772"/>
    <w:rsid w:val="00B357D9"/>
    <w:rsid w:val="00B35B30"/>
    <w:rsid w:val="00B35E4A"/>
    <w:rsid w:val="00B360C4"/>
    <w:rsid w:val="00B360C6"/>
    <w:rsid w:val="00B36EC7"/>
    <w:rsid w:val="00B37341"/>
    <w:rsid w:val="00B37469"/>
    <w:rsid w:val="00B374A7"/>
    <w:rsid w:val="00B3754D"/>
    <w:rsid w:val="00B37982"/>
    <w:rsid w:val="00B400CA"/>
    <w:rsid w:val="00B4060E"/>
    <w:rsid w:val="00B40939"/>
    <w:rsid w:val="00B40E5A"/>
    <w:rsid w:val="00B40E83"/>
    <w:rsid w:val="00B41642"/>
    <w:rsid w:val="00B417CD"/>
    <w:rsid w:val="00B41F5C"/>
    <w:rsid w:val="00B424E3"/>
    <w:rsid w:val="00B434EA"/>
    <w:rsid w:val="00B43909"/>
    <w:rsid w:val="00B43DA6"/>
    <w:rsid w:val="00B44046"/>
    <w:rsid w:val="00B44F46"/>
    <w:rsid w:val="00B456EE"/>
    <w:rsid w:val="00B45945"/>
    <w:rsid w:val="00B46B3B"/>
    <w:rsid w:val="00B46F66"/>
    <w:rsid w:val="00B47898"/>
    <w:rsid w:val="00B47F5A"/>
    <w:rsid w:val="00B50552"/>
    <w:rsid w:val="00B50805"/>
    <w:rsid w:val="00B50C97"/>
    <w:rsid w:val="00B50FC4"/>
    <w:rsid w:val="00B511F9"/>
    <w:rsid w:val="00B5125E"/>
    <w:rsid w:val="00B51A33"/>
    <w:rsid w:val="00B51B14"/>
    <w:rsid w:val="00B51D6D"/>
    <w:rsid w:val="00B52135"/>
    <w:rsid w:val="00B52A78"/>
    <w:rsid w:val="00B52C6B"/>
    <w:rsid w:val="00B5305C"/>
    <w:rsid w:val="00B53206"/>
    <w:rsid w:val="00B5332B"/>
    <w:rsid w:val="00B533A8"/>
    <w:rsid w:val="00B53477"/>
    <w:rsid w:val="00B535D4"/>
    <w:rsid w:val="00B53933"/>
    <w:rsid w:val="00B539AD"/>
    <w:rsid w:val="00B5401F"/>
    <w:rsid w:val="00B543F9"/>
    <w:rsid w:val="00B544B4"/>
    <w:rsid w:val="00B54608"/>
    <w:rsid w:val="00B54841"/>
    <w:rsid w:val="00B54981"/>
    <w:rsid w:val="00B54A56"/>
    <w:rsid w:val="00B55231"/>
    <w:rsid w:val="00B5579C"/>
    <w:rsid w:val="00B559FE"/>
    <w:rsid w:val="00B55CE3"/>
    <w:rsid w:val="00B55D23"/>
    <w:rsid w:val="00B5634F"/>
    <w:rsid w:val="00B56577"/>
    <w:rsid w:val="00B56761"/>
    <w:rsid w:val="00B567C8"/>
    <w:rsid w:val="00B56A9F"/>
    <w:rsid w:val="00B56B1C"/>
    <w:rsid w:val="00B574FF"/>
    <w:rsid w:val="00B5751F"/>
    <w:rsid w:val="00B578AB"/>
    <w:rsid w:val="00B57A90"/>
    <w:rsid w:val="00B57E10"/>
    <w:rsid w:val="00B602BD"/>
    <w:rsid w:val="00B609C8"/>
    <w:rsid w:val="00B60A34"/>
    <w:rsid w:val="00B60F81"/>
    <w:rsid w:val="00B614EF"/>
    <w:rsid w:val="00B61781"/>
    <w:rsid w:val="00B61A0B"/>
    <w:rsid w:val="00B6207E"/>
    <w:rsid w:val="00B62263"/>
    <w:rsid w:val="00B6264C"/>
    <w:rsid w:val="00B62EAE"/>
    <w:rsid w:val="00B6372C"/>
    <w:rsid w:val="00B63A47"/>
    <w:rsid w:val="00B63E9A"/>
    <w:rsid w:val="00B641D5"/>
    <w:rsid w:val="00B64300"/>
    <w:rsid w:val="00B6457F"/>
    <w:rsid w:val="00B64600"/>
    <w:rsid w:val="00B64873"/>
    <w:rsid w:val="00B649AF"/>
    <w:rsid w:val="00B64C51"/>
    <w:rsid w:val="00B64E9C"/>
    <w:rsid w:val="00B65278"/>
    <w:rsid w:val="00B65AE6"/>
    <w:rsid w:val="00B65D38"/>
    <w:rsid w:val="00B65FEC"/>
    <w:rsid w:val="00B661FF"/>
    <w:rsid w:val="00B666BE"/>
    <w:rsid w:val="00B669DA"/>
    <w:rsid w:val="00B66D9E"/>
    <w:rsid w:val="00B66E51"/>
    <w:rsid w:val="00B671CB"/>
    <w:rsid w:val="00B6733C"/>
    <w:rsid w:val="00B674D5"/>
    <w:rsid w:val="00B704CD"/>
    <w:rsid w:val="00B70837"/>
    <w:rsid w:val="00B7085F"/>
    <w:rsid w:val="00B70A49"/>
    <w:rsid w:val="00B70AE4"/>
    <w:rsid w:val="00B70FEB"/>
    <w:rsid w:val="00B70FED"/>
    <w:rsid w:val="00B7104B"/>
    <w:rsid w:val="00B71432"/>
    <w:rsid w:val="00B71AF6"/>
    <w:rsid w:val="00B71AF7"/>
    <w:rsid w:val="00B71D5E"/>
    <w:rsid w:val="00B7249F"/>
    <w:rsid w:val="00B729C0"/>
    <w:rsid w:val="00B72CD4"/>
    <w:rsid w:val="00B72FF7"/>
    <w:rsid w:val="00B73D0E"/>
    <w:rsid w:val="00B73EF7"/>
    <w:rsid w:val="00B7444F"/>
    <w:rsid w:val="00B747C8"/>
    <w:rsid w:val="00B7507A"/>
    <w:rsid w:val="00B75224"/>
    <w:rsid w:val="00B75A56"/>
    <w:rsid w:val="00B76000"/>
    <w:rsid w:val="00B76368"/>
    <w:rsid w:val="00B77284"/>
    <w:rsid w:val="00B77563"/>
    <w:rsid w:val="00B77960"/>
    <w:rsid w:val="00B806A0"/>
    <w:rsid w:val="00B807D9"/>
    <w:rsid w:val="00B808E9"/>
    <w:rsid w:val="00B80D7C"/>
    <w:rsid w:val="00B8140E"/>
    <w:rsid w:val="00B81910"/>
    <w:rsid w:val="00B8193F"/>
    <w:rsid w:val="00B81CCA"/>
    <w:rsid w:val="00B81FE9"/>
    <w:rsid w:val="00B8208F"/>
    <w:rsid w:val="00B82DEA"/>
    <w:rsid w:val="00B82FF2"/>
    <w:rsid w:val="00B832C9"/>
    <w:rsid w:val="00B835BE"/>
    <w:rsid w:val="00B8371B"/>
    <w:rsid w:val="00B83838"/>
    <w:rsid w:val="00B84974"/>
    <w:rsid w:val="00B84DBE"/>
    <w:rsid w:val="00B8514C"/>
    <w:rsid w:val="00B85A1A"/>
    <w:rsid w:val="00B86EB3"/>
    <w:rsid w:val="00B8743D"/>
    <w:rsid w:val="00B87B9A"/>
    <w:rsid w:val="00B87F4F"/>
    <w:rsid w:val="00B90441"/>
    <w:rsid w:val="00B907F8"/>
    <w:rsid w:val="00B90B50"/>
    <w:rsid w:val="00B91F70"/>
    <w:rsid w:val="00B92234"/>
    <w:rsid w:val="00B92660"/>
    <w:rsid w:val="00B92B57"/>
    <w:rsid w:val="00B92B7F"/>
    <w:rsid w:val="00B93103"/>
    <w:rsid w:val="00B93750"/>
    <w:rsid w:val="00B93D58"/>
    <w:rsid w:val="00B94403"/>
    <w:rsid w:val="00B944DE"/>
    <w:rsid w:val="00B9472B"/>
    <w:rsid w:val="00B948BC"/>
    <w:rsid w:val="00B95350"/>
    <w:rsid w:val="00B95B19"/>
    <w:rsid w:val="00B95B1A"/>
    <w:rsid w:val="00B95E13"/>
    <w:rsid w:val="00B962F5"/>
    <w:rsid w:val="00B96BA7"/>
    <w:rsid w:val="00B97CC9"/>
    <w:rsid w:val="00BA0075"/>
    <w:rsid w:val="00BA0143"/>
    <w:rsid w:val="00BA01B3"/>
    <w:rsid w:val="00BA01E7"/>
    <w:rsid w:val="00BA05D0"/>
    <w:rsid w:val="00BA078C"/>
    <w:rsid w:val="00BA0A26"/>
    <w:rsid w:val="00BA0FF2"/>
    <w:rsid w:val="00BA1426"/>
    <w:rsid w:val="00BA1B7C"/>
    <w:rsid w:val="00BA1E09"/>
    <w:rsid w:val="00BA23B8"/>
    <w:rsid w:val="00BA2D4E"/>
    <w:rsid w:val="00BA2EC3"/>
    <w:rsid w:val="00BA3133"/>
    <w:rsid w:val="00BA3682"/>
    <w:rsid w:val="00BA4483"/>
    <w:rsid w:val="00BA45F3"/>
    <w:rsid w:val="00BA4AD8"/>
    <w:rsid w:val="00BA5184"/>
    <w:rsid w:val="00BA52EB"/>
    <w:rsid w:val="00BA532A"/>
    <w:rsid w:val="00BA65D4"/>
    <w:rsid w:val="00BA67A2"/>
    <w:rsid w:val="00BA6AD5"/>
    <w:rsid w:val="00BA6B21"/>
    <w:rsid w:val="00BA6B59"/>
    <w:rsid w:val="00BA73B7"/>
    <w:rsid w:val="00BA7576"/>
    <w:rsid w:val="00BB038C"/>
    <w:rsid w:val="00BB0A5F"/>
    <w:rsid w:val="00BB1205"/>
    <w:rsid w:val="00BB12F3"/>
    <w:rsid w:val="00BB177F"/>
    <w:rsid w:val="00BB1780"/>
    <w:rsid w:val="00BB25DC"/>
    <w:rsid w:val="00BB2A14"/>
    <w:rsid w:val="00BB2ECC"/>
    <w:rsid w:val="00BB33E8"/>
    <w:rsid w:val="00BB367F"/>
    <w:rsid w:val="00BB4660"/>
    <w:rsid w:val="00BB46CE"/>
    <w:rsid w:val="00BB484C"/>
    <w:rsid w:val="00BB4A84"/>
    <w:rsid w:val="00BB51D3"/>
    <w:rsid w:val="00BB54C6"/>
    <w:rsid w:val="00BB5599"/>
    <w:rsid w:val="00BB5B83"/>
    <w:rsid w:val="00BB60AF"/>
    <w:rsid w:val="00BB6E07"/>
    <w:rsid w:val="00BB75D5"/>
    <w:rsid w:val="00BB7BF4"/>
    <w:rsid w:val="00BB7C7A"/>
    <w:rsid w:val="00BC069F"/>
    <w:rsid w:val="00BC0707"/>
    <w:rsid w:val="00BC0DDF"/>
    <w:rsid w:val="00BC109C"/>
    <w:rsid w:val="00BC117D"/>
    <w:rsid w:val="00BC125D"/>
    <w:rsid w:val="00BC1371"/>
    <w:rsid w:val="00BC1914"/>
    <w:rsid w:val="00BC1E8E"/>
    <w:rsid w:val="00BC1FC1"/>
    <w:rsid w:val="00BC200B"/>
    <w:rsid w:val="00BC3704"/>
    <w:rsid w:val="00BC430C"/>
    <w:rsid w:val="00BC44E8"/>
    <w:rsid w:val="00BC51F9"/>
    <w:rsid w:val="00BC633E"/>
    <w:rsid w:val="00BC635B"/>
    <w:rsid w:val="00BC646C"/>
    <w:rsid w:val="00BC653B"/>
    <w:rsid w:val="00BC6ECF"/>
    <w:rsid w:val="00BC7D14"/>
    <w:rsid w:val="00BD008F"/>
    <w:rsid w:val="00BD0523"/>
    <w:rsid w:val="00BD0547"/>
    <w:rsid w:val="00BD07F7"/>
    <w:rsid w:val="00BD0967"/>
    <w:rsid w:val="00BD144E"/>
    <w:rsid w:val="00BD15E6"/>
    <w:rsid w:val="00BD1859"/>
    <w:rsid w:val="00BD1A31"/>
    <w:rsid w:val="00BD1B0E"/>
    <w:rsid w:val="00BD26F7"/>
    <w:rsid w:val="00BD2B74"/>
    <w:rsid w:val="00BD32B2"/>
    <w:rsid w:val="00BD367E"/>
    <w:rsid w:val="00BD3AA8"/>
    <w:rsid w:val="00BD4569"/>
    <w:rsid w:val="00BD5160"/>
    <w:rsid w:val="00BD58D9"/>
    <w:rsid w:val="00BD5C76"/>
    <w:rsid w:val="00BD5E7C"/>
    <w:rsid w:val="00BD6273"/>
    <w:rsid w:val="00BD681B"/>
    <w:rsid w:val="00BD6CFA"/>
    <w:rsid w:val="00BD7928"/>
    <w:rsid w:val="00BE0070"/>
    <w:rsid w:val="00BE02F9"/>
    <w:rsid w:val="00BE0413"/>
    <w:rsid w:val="00BE0B7C"/>
    <w:rsid w:val="00BE0D6B"/>
    <w:rsid w:val="00BE1505"/>
    <w:rsid w:val="00BE17A6"/>
    <w:rsid w:val="00BE1A28"/>
    <w:rsid w:val="00BE23F1"/>
    <w:rsid w:val="00BE25C5"/>
    <w:rsid w:val="00BE26A9"/>
    <w:rsid w:val="00BE2894"/>
    <w:rsid w:val="00BE293A"/>
    <w:rsid w:val="00BE2983"/>
    <w:rsid w:val="00BE36CD"/>
    <w:rsid w:val="00BE3869"/>
    <w:rsid w:val="00BE4398"/>
    <w:rsid w:val="00BE454E"/>
    <w:rsid w:val="00BE4BA2"/>
    <w:rsid w:val="00BE4D07"/>
    <w:rsid w:val="00BE561D"/>
    <w:rsid w:val="00BE5952"/>
    <w:rsid w:val="00BE5E55"/>
    <w:rsid w:val="00BE5F04"/>
    <w:rsid w:val="00BE6782"/>
    <w:rsid w:val="00BE7076"/>
    <w:rsid w:val="00BE710E"/>
    <w:rsid w:val="00BE7555"/>
    <w:rsid w:val="00BE776D"/>
    <w:rsid w:val="00BE7A0C"/>
    <w:rsid w:val="00BF0C4E"/>
    <w:rsid w:val="00BF1540"/>
    <w:rsid w:val="00BF1836"/>
    <w:rsid w:val="00BF1D6C"/>
    <w:rsid w:val="00BF25BF"/>
    <w:rsid w:val="00BF27A4"/>
    <w:rsid w:val="00BF2AB7"/>
    <w:rsid w:val="00BF2C15"/>
    <w:rsid w:val="00BF39B9"/>
    <w:rsid w:val="00BF3D08"/>
    <w:rsid w:val="00BF3EEA"/>
    <w:rsid w:val="00BF465A"/>
    <w:rsid w:val="00BF4871"/>
    <w:rsid w:val="00BF4918"/>
    <w:rsid w:val="00BF4C25"/>
    <w:rsid w:val="00BF5172"/>
    <w:rsid w:val="00BF5214"/>
    <w:rsid w:val="00BF5726"/>
    <w:rsid w:val="00BF582C"/>
    <w:rsid w:val="00BF589D"/>
    <w:rsid w:val="00BF5FAD"/>
    <w:rsid w:val="00BF6035"/>
    <w:rsid w:val="00BF6208"/>
    <w:rsid w:val="00BF64C8"/>
    <w:rsid w:val="00BF651D"/>
    <w:rsid w:val="00BF659C"/>
    <w:rsid w:val="00BF66EA"/>
    <w:rsid w:val="00BF6C7E"/>
    <w:rsid w:val="00BF6FCB"/>
    <w:rsid w:val="00BF7409"/>
    <w:rsid w:val="00BF7753"/>
    <w:rsid w:val="00BF7835"/>
    <w:rsid w:val="00BF7A23"/>
    <w:rsid w:val="00BF7B13"/>
    <w:rsid w:val="00C00075"/>
    <w:rsid w:val="00C0043E"/>
    <w:rsid w:val="00C0043F"/>
    <w:rsid w:val="00C00872"/>
    <w:rsid w:val="00C00A29"/>
    <w:rsid w:val="00C00E67"/>
    <w:rsid w:val="00C013FC"/>
    <w:rsid w:val="00C0156B"/>
    <w:rsid w:val="00C0163A"/>
    <w:rsid w:val="00C01940"/>
    <w:rsid w:val="00C01A63"/>
    <w:rsid w:val="00C01EBF"/>
    <w:rsid w:val="00C01FA3"/>
    <w:rsid w:val="00C025DB"/>
    <w:rsid w:val="00C02710"/>
    <w:rsid w:val="00C02B04"/>
    <w:rsid w:val="00C033E3"/>
    <w:rsid w:val="00C03735"/>
    <w:rsid w:val="00C0393D"/>
    <w:rsid w:val="00C039EA"/>
    <w:rsid w:val="00C03B5F"/>
    <w:rsid w:val="00C03CB9"/>
    <w:rsid w:val="00C03CEA"/>
    <w:rsid w:val="00C03D4D"/>
    <w:rsid w:val="00C04527"/>
    <w:rsid w:val="00C04618"/>
    <w:rsid w:val="00C048BC"/>
    <w:rsid w:val="00C04F9B"/>
    <w:rsid w:val="00C0513C"/>
    <w:rsid w:val="00C052A9"/>
    <w:rsid w:val="00C053BE"/>
    <w:rsid w:val="00C05546"/>
    <w:rsid w:val="00C0603F"/>
    <w:rsid w:val="00C062D2"/>
    <w:rsid w:val="00C066D8"/>
    <w:rsid w:val="00C06BF1"/>
    <w:rsid w:val="00C075BB"/>
    <w:rsid w:val="00C079B6"/>
    <w:rsid w:val="00C07E26"/>
    <w:rsid w:val="00C07F78"/>
    <w:rsid w:val="00C10214"/>
    <w:rsid w:val="00C10A97"/>
    <w:rsid w:val="00C10B67"/>
    <w:rsid w:val="00C10CA1"/>
    <w:rsid w:val="00C110F1"/>
    <w:rsid w:val="00C11380"/>
    <w:rsid w:val="00C113CA"/>
    <w:rsid w:val="00C114BF"/>
    <w:rsid w:val="00C114F7"/>
    <w:rsid w:val="00C11AB5"/>
    <w:rsid w:val="00C1227E"/>
    <w:rsid w:val="00C123F6"/>
    <w:rsid w:val="00C12C45"/>
    <w:rsid w:val="00C12F4F"/>
    <w:rsid w:val="00C13DC9"/>
    <w:rsid w:val="00C142EA"/>
    <w:rsid w:val="00C14EC2"/>
    <w:rsid w:val="00C150DE"/>
    <w:rsid w:val="00C1511D"/>
    <w:rsid w:val="00C15F1E"/>
    <w:rsid w:val="00C16006"/>
    <w:rsid w:val="00C1619B"/>
    <w:rsid w:val="00C16225"/>
    <w:rsid w:val="00C17B00"/>
    <w:rsid w:val="00C17D39"/>
    <w:rsid w:val="00C17E9C"/>
    <w:rsid w:val="00C20052"/>
    <w:rsid w:val="00C2039A"/>
    <w:rsid w:val="00C2065C"/>
    <w:rsid w:val="00C2132D"/>
    <w:rsid w:val="00C21477"/>
    <w:rsid w:val="00C2154F"/>
    <w:rsid w:val="00C21BC3"/>
    <w:rsid w:val="00C21EAE"/>
    <w:rsid w:val="00C21FE8"/>
    <w:rsid w:val="00C22095"/>
    <w:rsid w:val="00C22356"/>
    <w:rsid w:val="00C225A0"/>
    <w:rsid w:val="00C225BF"/>
    <w:rsid w:val="00C22626"/>
    <w:rsid w:val="00C2263D"/>
    <w:rsid w:val="00C2371F"/>
    <w:rsid w:val="00C23821"/>
    <w:rsid w:val="00C239E7"/>
    <w:rsid w:val="00C23C82"/>
    <w:rsid w:val="00C23DA2"/>
    <w:rsid w:val="00C23E6C"/>
    <w:rsid w:val="00C2486F"/>
    <w:rsid w:val="00C24CF2"/>
    <w:rsid w:val="00C253BE"/>
    <w:rsid w:val="00C25729"/>
    <w:rsid w:val="00C26FA5"/>
    <w:rsid w:val="00C27B8F"/>
    <w:rsid w:val="00C30009"/>
    <w:rsid w:val="00C302E2"/>
    <w:rsid w:val="00C305B4"/>
    <w:rsid w:val="00C30A55"/>
    <w:rsid w:val="00C30E04"/>
    <w:rsid w:val="00C310D5"/>
    <w:rsid w:val="00C31181"/>
    <w:rsid w:val="00C3118F"/>
    <w:rsid w:val="00C31EB5"/>
    <w:rsid w:val="00C31F26"/>
    <w:rsid w:val="00C320D8"/>
    <w:rsid w:val="00C321C3"/>
    <w:rsid w:val="00C32350"/>
    <w:rsid w:val="00C3245D"/>
    <w:rsid w:val="00C3254A"/>
    <w:rsid w:val="00C32BA8"/>
    <w:rsid w:val="00C32D52"/>
    <w:rsid w:val="00C33035"/>
    <w:rsid w:val="00C33808"/>
    <w:rsid w:val="00C33C53"/>
    <w:rsid w:val="00C33C5A"/>
    <w:rsid w:val="00C33D55"/>
    <w:rsid w:val="00C33DDF"/>
    <w:rsid w:val="00C33FFD"/>
    <w:rsid w:val="00C34394"/>
    <w:rsid w:val="00C345B3"/>
    <w:rsid w:val="00C34B4E"/>
    <w:rsid w:val="00C34B6E"/>
    <w:rsid w:val="00C34DAF"/>
    <w:rsid w:val="00C34DBD"/>
    <w:rsid w:val="00C3566D"/>
    <w:rsid w:val="00C3603F"/>
    <w:rsid w:val="00C36165"/>
    <w:rsid w:val="00C36942"/>
    <w:rsid w:val="00C369E5"/>
    <w:rsid w:val="00C36C3B"/>
    <w:rsid w:val="00C37AB2"/>
    <w:rsid w:val="00C37B11"/>
    <w:rsid w:val="00C37B5F"/>
    <w:rsid w:val="00C40A4D"/>
    <w:rsid w:val="00C40EAA"/>
    <w:rsid w:val="00C41498"/>
    <w:rsid w:val="00C415A5"/>
    <w:rsid w:val="00C41AE0"/>
    <w:rsid w:val="00C41FB2"/>
    <w:rsid w:val="00C42063"/>
    <w:rsid w:val="00C42577"/>
    <w:rsid w:val="00C426D0"/>
    <w:rsid w:val="00C42A99"/>
    <w:rsid w:val="00C42AD2"/>
    <w:rsid w:val="00C42C1E"/>
    <w:rsid w:val="00C42C39"/>
    <w:rsid w:val="00C42E44"/>
    <w:rsid w:val="00C4347C"/>
    <w:rsid w:val="00C436AB"/>
    <w:rsid w:val="00C437EF"/>
    <w:rsid w:val="00C439AF"/>
    <w:rsid w:val="00C43F0A"/>
    <w:rsid w:val="00C4463C"/>
    <w:rsid w:val="00C449B9"/>
    <w:rsid w:val="00C45091"/>
    <w:rsid w:val="00C4556B"/>
    <w:rsid w:val="00C45768"/>
    <w:rsid w:val="00C463D1"/>
    <w:rsid w:val="00C46605"/>
    <w:rsid w:val="00C46E15"/>
    <w:rsid w:val="00C46E17"/>
    <w:rsid w:val="00C47106"/>
    <w:rsid w:val="00C475C5"/>
    <w:rsid w:val="00C47655"/>
    <w:rsid w:val="00C47C81"/>
    <w:rsid w:val="00C47ED5"/>
    <w:rsid w:val="00C50756"/>
    <w:rsid w:val="00C50B34"/>
    <w:rsid w:val="00C516AB"/>
    <w:rsid w:val="00C519FC"/>
    <w:rsid w:val="00C51A1A"/>
    <w:rsid w:val="00C521B5"/>
    <w:rsid w:val="00C52B73"/>
    <w:rsid w:val="00C531C5"/>
    <w:rsid w:val="00C53449"/>
    <w:rsid w:val="00C536BD"/>
    <w:rsid w:val="00C537C6"/>
    <w:rsid w:val="00C53B1B"/>
    <w:rsid w:val="00C54149"/>
    <w:rsid w:val="00C546ED"/>
    <w:rsid w:val="00C54BBA"/>
    <w:rsid w:val="00C54DEF"/>
    <w:rsid w:val="00C557F0"/>
    <w:rsid w:val="00C55867"/>
    <w:rsid w:val="00C55BE6"/>
    <w:rsid w:val="00C563D7"/>
    <w:rsid w:val="00C56A38"/>
    <w:rsid w:val="00C56EDE"/>
    <w:rsid w:val="00C570AD"/>
    <w:rsid w:val="00C57388"/>
    <w:rsid w:val="00C5776C"/>
    <w:rsid w:val="00C57C12"/>
    <w:rsid w:val="00C57CE9"/>
    <w:rsid w:val="00C60EC4"/>
    <w:rsid w:val="00C613D0"/>
    <w:rsid w:val="00C61594"/>
    <w:rsid w:val="00C61C6A"/>
    <w:rsid w:val="00C63AD2"/>
    <w:rsid w:val="00C63AFB"/>
    <w:rsid w:val="00C63F5D"/>
    <w:rsid w:val="00C64583"/>
    <w:rsid w:val="00C64B78"/>
    <w:rsid w:val="00C65AE0"/>
    <w:rsid w:val="00C65B68"/>
    <w:rsid w:val="00C661A7"/>
    <w:rsid w:val="00C6778C"/>
    <w:rsid w:val="00C701DF"/>
    <w:rsid w:val="00C70F51"/>
    <w:rsid w:val="00C7108E"/>
    <w:rsid w:val="00C712F2"/>
    <w:rsid w:val="00C71F0C"/>
    <w:rsid w:val="00C7225F"/>
    <w:rsid w:val="00C723C4"/>
    <w:rsid w:val="00C72D8C"/>
    <w:rsid w:val="00C72E54"/>
    <w:rsid w:val="00C73176"/>
    <w:rsid w:val="00C74050"/>
    <w:rsid w:val="00C740A9"/>
    <w:rsid w:val="00C7431A"/>
    <w:rsid w:val="00C7459D"/>
    <w:rsid w:val="00C745F3"/>
    <w:rsid w:val="00C74662"/>
    <w:rsid w:val="00C74B20"/>
    <w:rsid w:val="00C74BB5"/>
    <w:rsid w:val="00C74F32"/>
    <w:rsid w:val="00C7506B"/>
    <w:rsid w:val="00C75476"/>
    <w:rsid w:val="00C757C1"/>
    <w:rsid w:val="00C7671E"/>
    <w:rsid w:val="00C7726A"/>
    <w:rsid w:val="00C7740B"/>
    <w:rsid w:val="00C77475"/>
    <w:rsid w:val="00C7761F"/>
    <w:rsid w:val="00C77928"/>
    <w:rsid w:val="00C8003A"/>
    <w:rsid w:val="00C803D7"/>
    <w:rsid w:val="00C805E6"/>
    <w:rsid w:val="00C80801"/>
    <w:rsid w:val="00C80C1A"/>
    <w:rsid w:val="00C80E7C"/>
    <w:rsid w:val="00C81483"/>
    <w:rsid w:val="00C8153D"/>
    <w:rsid w:val="00C819FE"/>
    <w:rsid w:val="00C81FDD"/>
    <w:rsid w:val="00C828A7"/>
    <w:rsid w:val="00C830E9"/>
    <w:rsid w:val="00C835DC"/>
    <w:rsid w:val="00C83DF3"/>
    <w:rsid w:val="00C83EF3"/>
    <w:rsid w:val="00C83FB0"/>
    <w:rsid w:val="00C841D5"/>
    <w:rsid w:val="00C84426"/>
    <w:rsid w:val="00C84638"/>
    <w:rsid w:val="00C84851"/>
    <w:rsid w:val="00C84E9C"/>
    <w:rsid w:val="00C853C6"/>
    <w:rsid w:val="00C85D13"/>
    <w:rsid w:val="00C85DB4"/>
    <w:rsid w:val="00C8614C"/>
    <w:rsid w:val="00C86A60"/>
    <w:rsid w:val="00C86E8B"/>
    <w:rsid w:val="00C870E4"/>
    <w:rsid w:val="00C87236"/>
    <w:rsid w:val="00C8762B"/>
    <w:rsid w:val="00C87BA6"/>
    <w:rsid w:val="00C902DC"/>
    <w:rsid w:val="00C908C2"/>
    <w:rsid w:val="00C90C33"/>
    <w:rsid w:val="00C90E21"/>
    <w:rsid w:val="00C90EF7"/>
    <w:rsid w:val="00C91074"/>
    <w:rsid w:val="00C91255"/>
    <w:rsid w:val="00C91765"/>
    <w:rsid w:val="00C91DFB"/>
    <w:rsid w:val="00C9230A"/>
    <w:rsid w:val="00C92467"/>
    <w:rsid w:val="00C927A2"/>
    <w:rsid w:val="00C92D03"/>
    <w:rsid w:val="00C92EE5"/>
    <w:rsid w:val="00C93287"/>
    <w:rsid w:val="00C932BF"/>
    <w:rsid w:val="00C93464"/>
    <w:rsid w:val="00C934F1"/>
    <w:rsid w:val="00C93608"/>
    <w:rsid w:val="00C940E8"/>
    <w:rsid w:val="00C941F3"/>
    <w:rsid w:val="00C942D4"/>
    <w:rsid w:val="00C94D14"/>
    <w:rsid w:val="00C950A5"/>
    <w:rsid w:val="00C950C5"/>
    <w:rsid w:val="00C95728"/>
    <w:rsid w:val="00C9572F"/>
    <w:rsid w:val="00C958B6"/>
    <w:rsid w:val="00C958BE"/>
    <w:rsid w:val="00C95C30"/>
    <w:rsid w:val="00C95EA9"/>
    <w:rsid w:val="00C9620E"/>
    <w:rsid w:val="00C96B18"/>
    <w:rsid w:val="00C976FE"/>
    <w:rsid w:val="00C97ACC"/>
    <w:rsid w:val="00C97E1E"/>
    <w:rsid w:val="00C97FB4"/>
    <w:rsid w:val="00CA0494"/>
    <w:rsid w:val="00CA0895"/>
    <w:rsid w:val="00CA0CDD"/>
    <w:rsid w:val="00CA1299"/>
    <w:rsid w:val="00CA13E0"/>
    <w:rsid w:val="00CA162A"/>
    <w:rsid w:val="00CA1644"/>
    <w:rsid w:val="00CA1C8F"/>
    <w:rsid w:val="00CA1EAA"/>
    <w:rsid w:val="00CA2165"/>
    <w:rsid w:val="00CA2523"/>
    <w:rsid w:val="00CA2608"/>
    <w:rsid w:val="00CA2A34"/>
    <w:rsid w:val="00CA2B23"/>
    <w:rsid w:val="00CA2DD9"/>
    <w:rsid w:val="00CA3038"/>
    <w:rsid w:val="00CA39E8"/>
    <w:rsid w:val="00CA4167"/>
    <w:rsid w:val="00CA42B4"/>
    <w:rsid w:val="00CA4442"/>
    <w:rsid w:val="00CA4929"/>
    <w:rsid w:val="00CA4DF1"/>
    <w:rsid w:val="00CA53A1"/>
    <w:rsid w:val="00CA5C21"/>
    <w:rsid w:val="00CA5E94"/>
    <w:rsid w:val="00CA662D"/>
    <w:rsid w:val="00CA664E"/>
    <w:rsid w:val="00CA6771"/>
    <w:rsid w:val="00CA697A"/>
    <w:rsid w:val="00CA6CF8"/>
    <w:rsid w:val="00CA6FFE"/>
    <w:rsid w:val="00CA757E"/>
    <w:rsid w:val="00CA75D9"/>
    <w:rsid w:val="00CA7BB2"/>
    <w:rsid w:val="00CA7E9C"/>
    <w:rsid w:val="00CB0B7A"/>
    <w:rsid w:val="00CB0C52"/>
    <w:rsid w:val="00CB169A"/>
    <w:rsid w:val="00CB18EB"/>
    <w:rsid w:val="00CB19FC"/>
    <w:rsid w:val="00CB2132"/>
    <w:rsid w:val="00CB2297"/>
    <w:rsid w:val="00CB3846"/>
    <w:rsid w:val="00CB3D49"/>
    <w:rsid w:val="00CB3D86"/>
    <w:rsid w:val="00CB3D89"/>
    <w:rsid w:val="00CB3DF2"/>
    <w:rsid w:val="00CB3FD6"/>
    <w:rsid w:val="00CB46B0"/>
    <w:rsid w:val="00CB51E0"/>
    <w:rsid w:val="00CB5259"/>
    <w:rsid w:val="00CB559C"/>
    <w:rsid w:val="00CB55B1"/>
    <w:rsid w:val="00CB6D0B"/>
    <w:rsid w:val="00CB708E"/>
    <w:rsid w:val="00CB795C"/>
    <w:rsid w:val="00CB7975"/>
    <w:rsid w:val="00CB7DAD"/>
    <w:rsid w:val="00CC02B8"/>
    <w:rsid w:val="00CC06C7"/>
    <w:rsid w:val="00CC08D4"/>
    <w:rsid w:val="00CC0B20"/>
    <w:rsid w:val="00CC10D3"/>
    <w:rsid w:val="00CC10FC"/>
    <w:rsid w:val="00CC1283"/>
    <w:rsid w:val="00CC12FE"/>
    <w:rsid w:val="00CC19DB"/>
    <w:rsid w:val="00CC1AA4"/>
    <w:rsid w:val="00CC1B73"/>
    <w:rsid w:val="00CC278F"/>
    <w:rsid w:val="00CC2AFC"/>
    <w:rsid w:val="00CC3061"/>
    <w:rsid w:val="00CC3458"/>
    <w:rsid w:val="00CC366B"/>
    <w:rsid w:val="00CC3CE4"/>
    <w:rsid w:val="00CC3DBD"/>
    <w:rsid w:val="00CC3F71"/>
    <w:rsid w:val="00CC4558"/>
    <w:rsid w:val="00CC4591"/>
    <w:rsid w:val="00CC4D4D"/>
    <w:rsid w:val="00CC4DCC"/>
    <w:rsid w:val="00CC4E45"/>
    <w:rsid w:val="00CC5706"/>
    <w:rsid w:val="00CC623A"/>
    <w:rsid w:val="00CC69C2"/>
    <w:rsid w:val="00CC72A7"/>
    <w:rsid w:val="00CC76A4"/>
    <w:rsid w:val="00CC77DC"/>
    <w:rsid w:val="00CC786E"/>
    <w:rsid w:val="00CC7FE5"/>
    <w:rsid w:val="00CD01DD"/>
    <w:rsid w:val="00CD0386"/>
    <w:rsid w:val="00CD06A4"/>
    <w:rsid w:val="00CD06FC"/>
    <w:rsid w:val="00CD07E5"/>
    <w:rsid w:val="00CD15B9"/>
    <w:rsid w:val="00CD1774"/>
    <w:rsid w:val="00CD2363"/>
    <w:rsid w:val="00CD3520"/>
    <w:rsid w:val="00CD3A66"/>
    <w:rsid w:val="00CD46DC"/>
    <w:rsid w:val="00CD4EB7"/>
    <w:rsid w:val="00CD4F58"/>
    <w:rsid w:val="00CD5143"/>
    <w:rsid w:val="00CD5279"/>
    <w:rsid w:val="00CD542C"/>
    <w:rsid w:val="00CD5494"/>
    <w:rsid w:val="00CD554D"/>
    <w:rsid w:val="00CD55D6"/>
    <w:rsid w:val="00CD6348"/>
    <w:rsid w:val="00CD6567"/>
    <w:rsid w:val="00CD688B"/>
    <w:rsid w:val="00CD69E2"/>
    <w:rsid w:val="00CD6A53"/>
    <w:rsid w:val="00CD7E59"/>
    <w:rsid w:val="00CD7EA6"/>
    <w:rsid w:val="00CD7ED8"/>
    <w:rsid w:val="00CE023A"/>
    <w:rsid w:val="00CE024B"/>
    <w:rsid w:val="00CE06EE"/>
    <w:rsid w:val="00CE0DAB"/>
    <w:rsid w:val="00CE0E9C"/>
    <w:rsid w:val="00CE1956"/>
    <w:rsid w:val="00CE299B"/>
    <w:rsid w:val="00CE2F0B"/>
    <w:rsid w:val="00CE3137"/>
    <w:rsid w:val="00CE32E9"/>
    <w:rsid w:val="00CE36E4"/>
    <w:rsid w:val="00CE46AD"/>
    <w:rsid w:val="00CE4868"/>
    <w:rsid w:val="00CE55FF"/>
    <w:rsid w:val="00CE59B0"/>
    <w:rsid w:val="00CE5A7D"/>
    <w:rsid w:val="00CE5E51"/>
    <w:rsid w:val="00CE5FEA"/>
    <w:rsid w:val="00CE6431"/>
    <w:rsid w:val="00CE648E"/>
    <w:rsid w:val="00CE6A90"/>
    <w:rsid w:val="00CE6B27"/>
    <w:rsid w:val="00CE6D8C"/>
    <w:rsid w:val="00CE6FCF"/>
    <w:rsid w:val="00CE777A"/>
    <w:rsid w:val="00CE77C3"/>
    <w:rsid w:val="00CE79D6"/>
    <w:rsid w:val="00CF0126"/>
    <w:rsid w:val="00CF0CEC"/>
    <w:rsid w:val="00CF11FD"/>
    <w:rsid w:val="00CF1835"/>
    <w:rsid w:val="00CF18B7"/>
    <w:rsid w:val="00CF1EE1"/>
    <w:rsid w:val="00CF2125"/>
    <w:rsid w:val="00CF2195"/>
    <w:rsid w:val="00CF2557"/>
    <w:rsid w:val="00CF2A83"/>
    <w:rsid w:val="00CF326F"/>
    <w:rsid w:val="00CF34FE"/>
    <w:rsid w:val="00CF3667"/>
    <w:rsid w:val="00CF3C30"/>
    <w:rsid w:val="00CF3C7F"/>
    <w:rsid w:val="00CF3F03"/>
    <w:rsid w:val="00CF42B5"/>
    <w:rsid w:val="00CF483D"/>
    <w:rsid w:val="00CF4A28"/>
    <w:rsid w:val="00CF4D0F"/>
    <w:rsid w:val="00CF51DF"/>
    <w:rsid w:val="00CF562E"/>
    <w:rsid w:val="00CF5BFF"/>
    <w:rsid w:val="00CF5C6A"/>
    <w:rsid w:val="00CF627D"/>
    <w:rsid w:val="00CF6454"/>
    <w:rsid w:val="00CF6797"/>
    <w:rsid w:val="00CF67AB"/>
    <w:rsid w:val="00CF6851"/>
    <w:rsid w:val="00CF6A48"/>
    <w:rsid w:val="00CF7543"/>
    <w:rsid w:val="00CF7D46"/>
    <w:rsid w:val="00D0068F"/>
    <w:rsid w:val="00D0074A"/>
    <w:rsid w:val="00D00CC6"/>
    <w:rsid w:val="00D00D24"/>
    <w:rsid w:val="00D0125B"/>
    <w:rsid w:val="00D01B4B"/>
    <w:rsid w:val="00D01C80"/>
    <w:rsid w:val="00D02146"/>
    <w:rsid w:val="00D0267B"/>
    <w:rsid w:val="00D032B9"/>
    <w:rsid w:val="00D034CF"/>
    <w:rsid w:val="00D03732"/>
    <w:rsid w:val="00D03B50"/>
    <w:rsid w:val="00D03C02"/>
    <w:rsid w:val="00D04086"/>
    <w:rsid w:val="00D04210"/>
    <w:rsid w:val="00D0480D"/>
    <w:rsid w:val="00D04AED"/>
    <w:rsid w:val="00D04E91"/>
    <w:rsid w:val="00D052D2"/>
    <w:rsid w:val="00D05503"/>
    <w:rsid w:val="00D059C0"/>
    <w:rsid w:val="00D059E4"/>
    <w:rsid w:val="00D05AF5"/>
    <w:rsid w:val="00D06275"/>
    <w:rsid w:val="00D06806"/>
    <w:rsid w:val="00D068D6"/>
    <w:rsid w:val="00D06A61"/>
    <w:rsid w:val="00D06B11"/>
    <w:rsid w:val="00D06B1B"/>
    <w:rsid w:val="00D06B32"/>
    <w:rsid w:val="00D06CB0"/>
    <w:rsid w:val="00D070E1"/>
    <w:rsid w:val="00D076CD"/>
    <w:rsid w:val="00D07785"/>
    <w:rsid w:val="00D103A4"/>
    <w:rsid w:val="00D10597"/>
    <w:rsid w:val="00D1082B"/>
    <w:rsid w:val="00D10A37"/>
    <w:rsid w:val="00D10E8E"/>
    <w:rsid w:val="00D11139"/>
    <w:rsid w:val="00D1137C"/>
    <w:rsid w:val="00D11598"/>
    <w:rsid w:val="00D11D77"/>
    <w:rsid w:val="00D11F9C"/>
    <w:rsid w:val="00D120F2"/>
    <w:rsid w:val="00D123F3"/>
    <w:rsid w:val="00D130AC"/>
    <w:rsid w:val="00D13263"/>
    <w:rsid w:val="00D137B9"/>
    <w:rsid w:val="00D13902"/>
    <w:rsid w:val="00D1537F"/>
    <w:rsid w:val="00D15847"/>
    <w:rsid w:val="00D15D27"/>
    <w:rsid w:val="00D16212"/>
    <w:rsid w:val="00D1663D"/>
    <w:rsid w:val="00D168B0"/>
    <w:rsid w:val="00D16F15"/>
    <w:rsid w:val="00D17CC9"/>
    <w:rsid w:val="00D17EDC"/>
    <w:rsid w:val="00D200FA"/>
    <w:rsid w:val="00D202DA"/>
    <w:rsid w:val="00D20E92"/>
    <w:rsid w:val="00D21094"/>
    <w:rsid w:val="00D2135E"/>
    <w:rsid w:val="00D214A9"/>
    <w:rsid w:val="00D2169F"/>
    <w:rsid w:val="00D21762"/>
    <w:rsid w:val="00D217CC"/>
    <w:rsid w:val="00D21A2D"/>
    <w:rsid w:val="00D21F22"/>
    <w:rsid w:val="00D22BFD"/>
    <w:rsid w:val="00D22E21"/>
    <w:rsid w:val="00D23051"/>
    <w:rsid w:val="00D23CF3"/>
    <w:rsid w:val="00D23D04"/>
    <w:rsid w:val="00D23DA6"/>
    <w:rsid w:val="00D244CA"/>
    <w:rsid w:val="00D2460B"/>
    <w:rsid w:val="00D24CE4"/>
    <w:rsid w:val="00D24F79"/>
    <w:rsid w:val="00D253A7"/>
    <w:rsid w:val="00D25401"/>
    <w:rsid w:val="00D25573"/>
    <w:rsid w:val="00D2557E"/>
    <w:rsid w:val="00D2570C"/>
    <w:rsid w:val="00D25986"/>
    <w:rsid w:val="00D264CA"/>
    <w:rsid w:val="00D27085"/>
    <w:rsid w:val="00D270EE"/>
    <w:rsid w:val="00D2735E"/>
    <w:rsid w:val="00D27657"/>
    <w:rsid w:val="00D27F14"/>
    <w:rsid w:val="00D27FB6"/>
    <w:rsid w:val="00D3061B"/>
    <w:rsid w:val="00D30ED3"/>
    <w:rsid w:val="00D30F71"/>
    <w:rsid w:val="00D3148A"/>
    <w:rsid w:val="00D3156F"/>
    <w:rsid w:val="00D31AE0"/>
    <w:rsid w:val="00D322EE"/>
    <w:rsid w:val="00D3292A"/>
    <w:rsid w:val="00D3301B"/>
    <w:rsid w:val="00D331EF"/>
    <w:rsid w:val="00D335FC"/>
    <w:rsid w:val="00D338C5"/>
    <w:rsid w:val="00D34638"/>
    <w:rsid w:val="00D34E88"/>
    <w:rsid w:val="00D34F66"/>
    <w:rsid w:val="00D3586E"/>
    <w:rsid w:val="00D35B87"/>
    <w:rsid w:val="00D36225"/>
    <w:rsid w:val="00D36419"/>
    <w:rsid w:val="00D3647E"/>
    <w:rsid w:val="00D3688D"/>
    <w:rsid w:val="00D36ACB"/>
    <w:rsid w:val="00D36B88"/>
    <w:rsid w:val="00D37140"/>
    <w:rsid w:val="00D37C45"/>
    <w:rsid w:val="00D4014B"/>
    <w:rsid w:val="00D405B3"/>
    <w:rsid w:val="00D40C71"/>
    <w:rsid w:val="00D40E76"/>
    <w:rsid w:val="00D410B4"/>
    <w:rsid w:val="00D41321"/>
    <w:rsid w:val="00D41675"/>
    <w:rsid w:val="00D4168F"/>
    <w:rsid w:val="00D41693"/>
    <w:rsid w:val="00D41906"/>
    <w:rsid w:val="00D41A01"/>
    <w:rsid w:val="00D41AB3"/>
    <w:rsid w:val="00D42A1B"/>
    <w:rsid w:val="00D42AD3"/>
    <w:rsid w:val="00D431B3"/>
    <w:rsid w:val="00D43871"/>
    <w:rsid w:val="00D43AEE"/>
    <w:rsid w:val="00D43C89"/>
    <w:rsid w:val="00D43D3B"/>
    <w:rsid w:val="00D43F93"/>
    <w:rsid w:val="00D44243"/>
    <w:rsid w:val="00D44276"/>
    <w:rsid w:val="00D442D3"/>
    <w:rsid w:val="00D44D9D"/>
    <w:rsid w:val="00D45214"/>
    <w:rsid w:val="00D4559C"/>
    <w:rsid w:val="00D458BF"/>
    <w:rsid w:val="00D45B19"/>
    <w:rsid w:val="00D46144"/>
    <w:rsid w:val="00D46426"/>
    <w:rsid w:val="00D464D8"/>
    <w:rsid w:val="00D47448"/>
    <w:rsid w:val="00D47478"/>
    <w:rsid w:val="00D4750E"/>
    <w:rsid w:val="00D477A6"/>
    <w:rsid w:val="00D4797A"/>
    <w:rsid w:val="00D47BA4"/>
    <w:rsid w:val="00D47E79"/>
    <w:rsid w:val="00D47F2C"/>
    <w:rsid w:val="00D50270"/>
    <w:rsid w:val="00D50E34"/>
    <w:rsid w:val="00D5115B"/>
    <w:rsid w:val="00D513C5"/>
    <w:rsid w:val="00D517EF"/>
    <w:rsid w:val="00D51840"/>
    <w:rsid w:val="00D51A81"/>
    <w:rsid w:val="00D51C42"/>
    <w:rsid w:val="00D520B6"/>
    <w:rsid w:val="00D52381"/>
    <w:rsid w:val="00D52B1D"/>
    <w:rsid w:val="00D52C34"/>
    <w:rsid w:val="00D52CDB"/>
    <w:rsid w:val="00D5323F"/>
    <w:rsid w:val="00D5368A"/>
    <w:rsid w:val="00D53737"/>
    <w:rsid w:val="00D5373F"/>
    <w:rsid w:val="00D53848"/>
    <w:rsid w:val="00D53EB4"/>
    <w:rsid w:val="00D5468B"/>
    <w:rsid w:val="00D54FAD"/>
    <w:rsid w:val="00D550B7"/>
    <w:rsid w:val="00D557C4"/>
    <w:rsid w:val="00D55C2F"/>
    <w:rsid w:val="00D55D57"/>
    <w:rsid w:val="00D56227"/>
    <w:rsid w:val="00D56339"/>
    <w:rsid w:val="00D566FE"/>
    <w:rsid w:val="00D56932"/>
    <w:rsid w:val="00D56AD1"/>
    <w:rsid w:val="00D57014"/>
    <w:rsid w:val="00D57095"/>
    <w:rsid w:val="00D5761F"/>
    <w:rsid w:val="00D57768"/>
    <w:rsid w:val="00D600EC"/>
    <w:rsid w:val="00D6057B"/>
    <w:rsid w:val="00D606FC"/>
    <w:rsid w:val="00D60E37"/>
    <w:rsid w:val="00D61168"/>
    <w:rsid w:val="00D6173A"/>
    <w:rsid w:val="00D61F27"/>
    <w:rsid w:val="00D6271F"/>
    <w:rsid w:val="00D62B90"/>
    <w:rsid w:val="00D62C32"/>
    <w:rsid w:val="00D63039"/>
    <w:rsid w:val="00D630B9"/>
    <w:rsid w:val="00D63149"/>
    <w:rsid w:val="00D63C5A"/>
    <w:rsid w:val="00D648AC"/>
    <w:rsid w:val="00D64E7C"/>
    <w:rsid w:val="00D654B8"/>
    <w:rsid w:val="00D65641"/>
    <w:rsid w:val="00D656B6"/>
    <w:rsid w:val="00D65747"/>
    <w:rsid w:val="00D65A16"/>
    <w:rsid w:val="00D65DC4"/>
    <w:rsid w:val="00D663D3"/>
    <w:rsid w:val="00D66931"/>
    <w:rsid w:val="00D66E52"/>
    <w:rsid w:val="00D66E89"/>
    <w:rsid w:val="00D671E4"/>
    <w:rsid w:val="00D703D9"/>
    <w:rsid w:val="00D706BD"/>
    <w:rsid w:val="00D70A0C"/>
    <w:rsid w:val="00D71518"/>
    <w:rsid w:val="00D7151D"/>
    <w:rsid w:val="00D71EDF"/>
    <w:rsid w:val="00D71FB7"/>
    <w:rsid w:val="00D7265A"/>
    <w:rsid w:val="00D72975"/>
    <w:rsid w:val="00D72AC5"/>
    <w:rsid w:val="00D72BCB"/>
    <w:rsid w:val="00D72C75"/>
    <w:rsid w:val="00D7321A"/>
    <w:rsid w:val="00D735FB"/>
    <w:rsid w:val="00D737DB"/>
    <w:rsid w:val="00D73E53"/>
    <w:rsid w:val="00D73E80"/>
    <w:rsid w:val="00D74084"/>
    <w:rsid w:val="00D746D6"/>
    <w:rsid w:val="00D74729"/>
    <w:rsid w:val="00D748C4"/>
    <w:rsid w:val="00D74F47"/>
    <w:rsid w:val="00D752FA"/>
    <w:rsid w:val="00D756EC"/>
    <w:rsid w:val="00D757B5"/>
    <w:rsid w:val="00D759B2"/>
    <w:rsid w:val="00D75C77"/>
    <w:rsid w:val="00D75FAF"/>
    <w:rsid w:val="00D76BA3"/>
    <w:rsid w:val="00D776CE"/>
    <w:rsid w:val="00D777B8"/>
    <w:rsid w:val="00D77E4F"/>
    <w:rsid w:val="00D800A7"/>
    <w:rsid w:val="00D8027A"/>
    <w:rsid w:val="00D803E2"/>
    <w:rsid w:val="00D803EA"/>
    <w:rsid w:val="00D805CE"/>
    <w:rsid w:val="00D807C8"/>
    <w:rsid w:val="00D807E4"/>
    <w:rsid w:val="00D80C8D"/>
    <w:rsid w:val="00D81B73"/>
    <w:rsid w:val="00D82229"/>
    <w:rsid w:val="00D825D0"/>
    <w:rsid w:val="00D83A7B"/>
    <w:rsid w:val="00D83D09"/>
    <w:rsid w:val="00D842C2"/>
    <w:rsid w:val="00D84342"/>
    <w:rsid w:val="00D8571C"/>
    <w:rsid w:val="00D8576F"/>
    <w:rsid w:val="00D85ACC"/>
    <w:rsid w:val="00D85B82"/>
    <w:rsid w:val="00D85D41"/>
    <w:rsid w:val="00D86071"/>
    <w:rsid w:val="00D86893"/>
    <w:rsid w:val="00D86A32"/>
    <w:rsid w:val="00D86E94"/>
    <w:rsid w:val="00D87C3D"/>
    <w:rsid w:val="00D90199"/>
    <w:rsid w:val="00D90253"/>
    <w:rsid w:val="00D902F8"/>
    <w:rsid w:val="00D907EB"/>
    <w:rsid w:val="00D90993"/>
    <w:rsid w:val="00D90A63"/>
    <w:rsid w:val="00D90A7D"/>
    <w:rsid w:val="00D91151"/>
    <w:rsid w:val="00D91253"/>
    <w:rsid w:val="00D91542"/>
    <w:rsid w:val="00D91FA0"/>
    <w:rsid w:val="00D923C3"/>
    <w:rsid w:val="00D9276B"/>
    <w:rsid w:val="00D92E28"/>
    <w:rsid w:val="00D930F9"/>
    <w:rsid w:val="00D9367A"/>
    <w:rsid w:val="00D945F4"/>
    <w:rsid w:val="00D94ADD"/>
    <w:rsid w:val="00D9571F"/>
    <w:rsid w:val="00D9577C"/>
    <w:rsid w:val="00D95924"/>
    <w:rsid w:val="00D95934"/>
    <w:rsid w:val="00D95CE0"/>
    <w:rsid w:val="00D95E02"/>
    <w:rsid w:val="00D95F7E"/>
    <w:rsid w:val="00D95F9F"/>
    <w:rsid w:val="00D960AB"/>
    <w:rsid w:val="00D96169"/>
    <w:rsid w:val="00D96815"/>
    <w:rsid w:val="00D96B4D"/>
    <w:rsid w:val="00D96CEB"/>
    <w:rsid w:val="00D96DE8"/>
    <w:rsid w:val="00D96E4F"/>
    <w:rsid w:val="00D96E89"/>
    <w:rsid w:val="00D96EA6"/>
    <w:rsid w:val="00D96F67"/>
    <w:rsid w:val="00D97098"/>
    <w:rsid w:val="00D9742C"/>
    <w:rsid w:val="00D97595"/>
    <w:rsid w:val="00D97874"/>
    <w:rsid w:val="00DA05E9"/>
    <w:rsid w:val="00DA14EA"/>
    <w:rsid w:val="00DA182F"/>
    <w:rsid w:val="00DA1A0C"/>
    <w:rsid w:val="00DA1BB3"/>
    <w:rsid w:val="00DA1BE1"/>
    <w:rsid w:val="00DA1C84"/>
    <w:rsid w:val="00DA1E3D"/>
    <w:rsid w:val="00DA2048"/>
    <w:rsid w:val="00DA207C"/>
    <w:rsid w:val="00DA25BF"/>
    <w:rsid w:val="00DA2CF0"/>
    <w:rsid w:val="00DA2D2B"/>
    <w:rsid w:val="00DA3214"/>
    <w:rsid w:val="00DA3679"/>
    <w:rsid w:val="00DA3727"/>
    <w:rsid w:val="00DA4093"/>
    <w:rsid w:val="00DA57F1"/>
    <w:rsid w:val="00DA5B95"/>
    <w:rsid w:val="00DA5C8C"/>
    <w:rsid w:val="00DA600B"/>
    <w:rsid w:val="00DA65ED"/>
    <w:rsid w:val="00DA67E0"/>
    <w:rsid w:val="00DA6D9D"/>
    <w:rsid w:val="00DA70FA"/>
    <w:rsid w:val="00DA75E1"/>
    <w:rsid w:val="00DA7FD4"/>
    <w:rsid w:val="00DB0130"/>
    <w:rsid w:val="00DB0CBB"/>
    <w:rsid w:val="00DB10A1"/>
    <w:rsid w:val="00DB21A0"/>
    <w:rsid w:val="00DB261A"/>
    <w:rsid w:val="00DB2E29"/>
    <w:rsid w:val="00DB3CE7"/>
    <w:rsid w:val="00DB4447"/>
    <w:rsid w:val="00DB5114"/>
    <w:rsid w:val="00DB56BF"/>
    <w:rsid w:val="00DB61F1"/>
    <w:rsid w:val="00DB62AE"/>
    <w:rsid w:val="00DB66CD"/>
    <w:rsid w:val="00DB6B9F"/>
    <w:rsid w:val="00DB6BE6"/>
    <w:rsid w:val="00DB6D20"/>
    <w:rsid w:val="00DB6EDA"/>
    <w:rsid w:val="00DB6F8E"/>
    <w:rsid w:val="00DB77A8"/>
    <w:rsid w:val="00DB7F24"/>
    <w:rsid w:val="00DC03DA"/>
    <w:rsid w:val="00DC08A3"/>
    <w:rsid w:val="00DC0935"/>
    <w:rsid w:val="00DC0AD9"/>
    <w:rsid w:val="00DC1007"/>
    <w:rsid w:val="00DC11C1"/>
    <w:rsid w:val="00DC11F9"/>
    <w:rsid w:val="00DC128B"/>
    <w:rsid w:val="00DC1E1D"/>
    <w:rsid w:val="00DC2AA3"/>
    <w:rsid w:val="00DC2AC5"/>
    <w:rsid w:val="00DC2FEE"/>
    <w:rsid w:val="00DC413B"/>
    <w:rsid w:val="00DC43A7"/>
    <w:rsid w:val="00DC4579"/>
    <w:rsid w:val="00DC4BC2"/>
    <w:rsid w:val="00DC5B45"/>
    <w:rsid w:val="00DC5C40"/>
    <w:rsid w:val="00DC6584"/>
    <w:rsid w:val="00DC6677"/>
    <w:rsid w:val="00DC6806"/>
    <w:rsid w:val="00DC6EE4"/>
    <w:rsid w:val="00DC72AB"/>
    <w:rsid w:val="00DC7472"/>
    <w:rsid w:val="00DC766A"/>
    <w:rsid w:val="00DC7982"/>
    <w:rsid w:val="00DC7F34"/>
    <w:rsid w:val="00DD0396"/>
    <w:rsid w:val="00DD0469"/>
    <w:rsid w:val="00DD06F4"/>
    <w:rsid w:val="00DD07B8"/>
    <w:rsid w:val="00DD0F63"/>
    <w:rsid w:val="00DD116C"/>
    <w:rsid w:val="00DD165A"/>
    <w:rsid w:val="00DD180B"/>
    <w:rsid w:val="00DD1900"/>
    <w:rsid w:val="00DD1FFE"/>
    <w:rsid w:val="00DD2045"/>
    <w:rsid w:val="00DD23B6"/>
    <w:rsid w:val="00DD258E"/>
    <w:rsid w:val="00DD2AD2"/>
    <w:rsid w:val="00DD2D2C"/>
    <w:rsid w:val="00DD34DD"/>
    <w:rsid w:val="00DD3888"/>
    <w:rsid w:val="00DD390A"/>
    <w:rsid w:val="00DD3A2A"/>
    <w:rsid w:val="00DD3C0E"/>
    <w:rsid w:val="00DD4B06"/>
    <w:rsid w:val="00DD4C01"/>
    <w:rsid w:val="00DD537F"/>
    <w:rsid w:val="00DD5869"/>
    <w:rsid w:val="00DD603C"/>
    <w:rsid w:val="00DD60DA"/>
    <w:rsid w:val="00DD6769"/>
    <w:rsid w:val="00DD6F38"/>
    <w:rsid w:val="00DD76C1"/>
    <w:rsid w:val="00DD77C3"/>
    <w:rsid w:val="00DD7EA2"/>
    <w:rsid w:val="00DD7EED"/>
    <w:rsid w:val="00DE033C"/>
    <w:rsid w:val="00DE0363"/>
    <w:rsid w:val="00DE0BC5"/>
    <w:rsid w:val="00DE1204"/>
    <w:rsid w:val="00DE19EC"/>
    <w:rsid w:val="00DE1C3F"/>
    <w:rsid w:val="00DE2924"/>
    <w:rsid w:val="00DE29EE"/>
    <w:rsid w:val="00DE2C0A"/>
    <w:rsid w:val="00DE30CD"/>
    <w:rsid w:val="00DE3B26"/>
    <w:rsid w:val="00DE3CEE"/>
    <w:rsid w:val="00DE3FBE"/>
    <w:rsid w:val="00DE3FE9"/>
    <w:rsid w:val="00DE45BA"/>
    <w:rsid w:val="00DE4E14"/>
    <w:rsid w:val="00DE50DE"/>
    <w:rsid w:val="00DE528B"/>
    <w:rsid w:val="00DE5392"/>
    <w:rsid w:val="00DE56C7"/>
    <w:rsid w:val="00DE60FE"/>
    <w:rsid w:val="00DE6379"/>
    <w:rsid w:val="00DE6826"/>
    <w:rsid w:val="00DE6A25"/>
    <w:rsid w:val="00DE7393"/>
    <w:rsid w:val="00DE73DF"/>
    <w:rsid w:val="00DE73F9"/>
    <w:rsid w:val="00DE74B9"/>
    <w:rsid w:val="00DE75E9"/>
    <w:rsid w:val="00DE798D"/>
    <w:rsid w:val="00DE7AD0"/>
    <w:rsid w:val="00DE7D60"/>
    <w:rsid w:val="00DF0152"/>
    <w:rsid w:val="00DF01DE"/>
    <w:rsid w:val="00DF04DB"/>
    <w:rsid w:val="00DF0E2D"/>
    <w:rsid w:val="00DF1252"/>
    <w:rsid w:val="00DF1B28"/>
    <w:rsid w:val="00DF1DCB"/>
    <w:rsid w:val="00DF2081"/>
    <w:rsid w:val="00DF25FE"/>
    <w:rsid w:val="00DF2D46"/>
    <w:rsid w:val="00DF2DAC"/>
    <w:rsid w:val="00DF3493"/>
    <w:rsid w:val="00DF34B9"/>
    <w:rsid w:val="00DF3C64"/>
    <w:rsid w:val="00DF3CC6"/>
    <w:rsid w:val="00DF3DBF"/>
    <w:rsid w:val="00DF40EC"/>
    <w:rsid w:val="00DF4146"/>
    <w:rsid w:val="00DF44DC"/>
    <w:rsid w:val="00DF4FB0"/>
    <w:rsid w:val="00DF5033"/>
    <w:rsid w:val="00DF5DD4"/>
    <w:rsid w:val="00DF5E80"/>
    <w:rsid w:val="00DF5EE8"/>
    <w:rsid w:val="00DF664A"/>
    <w:rsid w:val="00DF6731"/>
    <w:rsid w:val="00DF6CD4"/>
    <w:rsid w:val="00DF7726"/>
    <w:rsid w:val="00DF7794"/>
    <w:rsid w:val="00DF7B3E"/>
    <w:rsid w:val="00DF7DCA"/>
    <w:rsid w:val="00E001C9"/>
    <w:rsid w:val="00E00809"/>
    <w:rsid w:val="00E00A31"/>
    <w:rsid w:val="00E00D78"/>
    <w:rsid w:val="00E010B6"/>
    <w:rsid w:val="00E01B51"/>
    <w:rsid w:val="00E01EF6"/>
    <w:rsid w:val="00E01FBB"/>
    <w:rsid w:val="00E02053"/>
    <w:rsid w:val="00E021C9"/>
    <w:rsid w:val="00E022BF"/>
    <w:rsid w:val="00E02346"/>
    <w:rsid w:val="00E0236D"/>
    <w:rsid w:val="00E02519"/>
    <w:rsid w:val="00E027DA"/>
    <w:rsid w:val="00E02CF7"/>
    <w:rsid w:val="00E03307"/>
    <w:rsid w:val="00E0368B"/>
    <w:rsid w:val="00E041ED"/>
    <w:rsid w:val="00E0426E"/>
    <w:rsid w:val="00E04836"/>
    <w:rsid w:val="00E04E43"/>
    <w:rsid w:val="00E04E80"/>
    <w:rsid w:val="00E04EF4"/>
    <w:rsid w:val="00E05610"/>
    <w:rsid w:val="00E05B46"/>
    <w:rsid w:val="00E05EE0"/>
    <w:rsid w:val="00E061AD"/>
    <w:rsid w:val="00E064CF"/>
    <w:rsid w:val="00E066E1"/>
    <w:rsid w:val="00E06ADF"/>
    <w:rsid w:val="00E10013"/>
    <w:rsid w:val="00E109E3"/>
    <w:rsid w:val="00E10D18"/>
    <w:rsid w:val="00E11327"/>
    <w:rsid w:val="00E11453"/>
    <w:rsid w:val="00E114DF"/>
    <w:rsid w:val="00E11D1F"/>
    <w:rsid w:val="00E12810"/>
    <w:rsid w:val="00E12A2F"/>
    <w:rsid w:val="00E13259"/>
    <w:rsid w:val="00E136AF"/>
    <w:rsid w:val="00E13F11"/>
    <w:rsid w:val="00E14727"/>
    <w:rsid w:val="00E147DE"/>
    <w:rsid w:val="00E14A19"/>
    <w:rsid w:val="00E14E52"/>
    <w:rsid w:val="00E15303"/>
    <w:rsid w:val="00E153EC"/>
    <w:rsid w:val="00E15824"/>
    <w:rsid w:val="00E15D40"/>
    <w:rsid w:val="00E15DB7"/>
    <w:rsid w:val="00E16007"/>
    <w:rsid w:val="00E16042"/>
    <w:rsid w:val="00E16642"/>
    <w:rsid w:val="00E1685B"/>
    <w:rsid w:val="00E16B19"/>
    <w:rsid w:val="00E17139"/>
    <w:rsid w:val="00E171ED"/>
    <w:rsid w:val="00E172BC"/>
    <w:rsid w:val="00E20198"/>
    <w:rsid w:val="00E204D8"/>
    <w:rsid w:val="00E20764"/>
    <w:rsid w:val="00E2099F"/>
    <w:rsid w:val="00E20F06"/>
    <w:rsid w:val="00E210B4"/>
    <w:rsid w:val="00E219DF"/>
    <w:rsid w:val="00E2204D"/>
    <w:rsid w:val="00E22682"/>
    <w:rsid w:val="00E2288C"/>
    <w:rsid w:val="00E228F2"/>
    <w:rsid w:val="00E230CB"/>
    <w:rsid w:val="00E23CF0"/>
    <w:rsid w:val="00E24008"/>
    <w:rsid w:val="00E240A7"/>
    <w:rsid w:val="00E24654"/>
    <w:rsid w:val="00E24A7C"/>
    <w:rsid w:val="00E24B98"/>
    <w:rsid w:val="00E256B0"/>
    <w:rsid w:val="00E259ED"/>
    <w:rsid w:val="00E26074"/>
    <w:rsid w:val="00E2659C"/>
    <w:rsid w:val="00E26F04"/>
    <w:rsid w:val="00E27073"/>
    <w:rsid w:val="00E27397"/>
    <w:rsid w:val="00E27C9F"/>
    <w:rsid w:val="00E27D25"/>
    <w:rsid w:val="00E3027C"/>
    <w:rsid w:val="00E30425"/>
    <w:rsid w:val="00E30545"/>
    <w:rsid w:val="00E30C55"/>
    <w:rsid w:val="00E30E97"/>
    <w:rsid w:val="00E30FA4"/>
    <w:rsid w:val="00E313C8"/>
    <w:rsid w:val="00E314E3"/>
    <w:rsid w:val="00E315CF"/>
    <w:rsid w:val="00E31A3F"/>
    <w:rsid w:val="00E31AA4"/>
    <w:rsid w:val="00E31B6C"/>
    <w:rsid w:val="00E320BB"/>
    <w:rsid w:val="00E32872"/>
    <w:rsid w:val="00E32959"/>
    <w:rsid w:val="00E32CCB"/>
    <w:rsid w:val="00E32DA1"/>
    <w:rsid w:val="00E3301D"/>
    <w:rsid w:val="00E333B2"/>
    <w:rsid w:val="00E334F9"/>
    <w:rsid w:val="00E336D4"/>
    <w:rsid w:val="00E33C70"/>
    <w:rsid w:val="00E33E77"/>
    <w:rsid w:val="00E3422E"/>
    <w:rsid w:val="00E34264"/>
    <w:rsid w:val="00E34449"/>
    <w:rsid w:val="00E3453B"/>
    <w:rsid w:val="00E34C40"/>
    <w:rsid w:val="00E34DC4"/>
    <w:rsid w:val="00E3604F"/>
    <w:rsid w:val="00E361AE"/>
    <w:rsid w:val="00E36525"/>
    <w:rsid w:val="00E36B49"/>
    <w:rsid w:val="00E36C7A"/>
    <w:rsid w:val="00E36F17"/>
    <w:rsid w:val="00E3759B"/>
    <w:rsid w:val="00E37C38"/>
    <w:rsid w:val="00E402E6"/>
    <w:rsid w:val="00E402F6"/>
    <w:rsid w:val="00E407FF"/>
    <w:rsid w:val="00E40E10"/>
    <w:rsid w:val="00E415F6"/>
    <w:rsid w:val="00E41D6B"/>
    <w:rsid w:val="00E42264"/>
    <w:rsid w:val="00E42BCC"/>
    <w:rsid w:val="00E4313D"/>
    <w:rsid w:val="00E435C8"/>
    <w:rsid w:val="00E4372F"/>
    <w:rsid w:val="00E43890"/>
    <w:rsid w:val="00E438C5"/>
    <w:rsid w:val="00E43BBC"/>
    <w:rsid w:val="00E43CA6"/>
    <w:rsid w:val="00E446F3"/>
    <w:rsid w:val="00E44897"/>
    <w:rsid w:val="00E44C68"/>
    <w:rsid w:val="00E44DAA"/>
    <w:rsid w:val="00E4513E"/>
    <w:rsid w:val="00E454E9"/>
    <w:rsid w:val="00E45A76"/>
    <w:rsid w:val="00E45E7B"/>
    <w:rsid w:val="00E46121"/>
    <w:rsid w:val="00E4650F"/>
    <w:rsid w:val="00E47575"/>
    <w:rsid w:val="00E505E3"/>
    <w:rsid w:val="00E50686"/>
    <w:rsid w:val="00E5099E"/>
    <w:rsid w:val="00E50B2F"/>
    <w:rsid w:val="00E50F72"/>
    <w:rsid w:val="00E51325"/>
    <w:rsid w:val="00E51462"/>
    <w:rsid w:val="00E51AFE"/>
    <w:rsid w:val="00E51CC8"/>
    <w:rsid w:val="00E52403"/>
    <w:rsid w:val="00E5246E"/>
    <w:rsid w:val="00E5247C"/>
    <w:rsid w:val="00E525DF"/>
    <w:rsid w:val="00E52C40"/>
    <w:rsid w:val="00E5346B"/>
    <w:rsid w:val="00E5364A"/>
    <w:rsid w:val="00E53859"/>
    <w:rsid w:val="00E53B2F"/>
    <w:rsid w:val="00E53CDA"/>
    <w:rsid w:val="00E53D0B"/>
    <w:rsid w:val="00E5419D"/>
    <w:rsid w:val="00E547F1"/>
    <w:rsid w:val="00E54AED"/>
    <w:rsid w:val="00E554CF"/>
    <w:rsid w:val="00E55757"/>
    <w:rsid w:val="00E55C6B"/>
    <w:rsid w:val="00E55C7E"/>
    <w:rsid w:val="00E55F1F"/>
    <w:rsid w:val="00E56599"/>
    <w:rsid w:val="00E5661D"/>
    <w:rsid w:val="00E5663C"/>
    <w:rsid w:val="00E567B4"/>
    <w:rsid w:val="00E57293"/>
    <w:rsid w:val="00E573FE"/>
    <w:rsid w:val="00E5747B"/>
    <w:rsid w:val="00E57583"/>
    <w:rsid w:val="00E57AF1"/>
    <w:rsid w:val="00E6031D"/>
    <w:rsid w:val="00E60468"/>
    <w:rsid w:val="00E605EE"/>
    <w:rsid w:val="00E6078B"/>
    <w:rsid w:val="00E61823"/>
    <w:rsid w:val="00E61BEF"/>
    <w:rsid w:val="00E61C49"/>
    <w:rsid w:val="00E61E81"/>
    <w:rsid w:val="00E62048"/>
    <w:rsid w:val="00E62682"/>
    <w:rsid w:val="00E6271A"/>
    <w:rsid w:val="00E62AF4"/>
    <w:rsid w:val="00E62E79"/>
    <w:rsid w:val="00E62F77"/>
    <w:rsid w:val="00E6350A"/>
    <w:rsid w:val="00E636F4"/>
    <w:rsid w:val="00E64630"/>
    <w:rsid w:val="00E64A22"/>
    <w:rsid w:val="00E64B9B"/>
    <w:rsid w:val="00E65048"/>
    <w:rsid w:val="00E65079"/>
    <w:rsid w:val="00E65085"/>
    <w:rsid w:val="00E651DD"/>
    <w:rsid w:val="00E65303"/>
    <w:rsid w:val="00E653D9"/>
    <w:rsid w:val="00E65552"/>
    <w:rsid w:val="00E65CB6"/>
    <w:rsid w:val="00E65FAF"/>
    <w:rsid w:val="00E667CE"/>
    <w:rsid w:val="00E66DA3"/>
    <w:rsid w:val="00E671D5"/>
    <w:rsid w:val="00E6731B"/>
    <w:rsid w:val="00E67BBC"/>
    <w:rsid w:val="00E67E25"/>
    <w:rsid w:val="00E700B0"/>
    <w:rsid w:val="00E70763"/>
    <w:rsid w:val="00E7142A"/>
    <w:rsid w:val="00E71CAF"/>
    <w:rsid w:val="00E73AD9"/>
    <w:rsid w:val="00E73C15"/>
    <w:rsid w:val="00E7408B"/>
    <w:rsid w:val="00E740E9"/>
    <w:rsid w:val="00E74463"/>
    <w:rsid w:val="00E74495"/>
    <w:rsid w:val="00E74919"/>
    <w:rsid w:val="00E75C75"/>
    <w:rsid w:val="00E75DC3"/>
    <w:rsid w:val="00E76B45"/>
    <w:rsid w:val="00E773F3"/>
    <w:rsid w:val="00E775FA"/>
    <w:rsid w:val="00E77615"/>
    <w:rsid w:val="00E77F53"/>
    <w:rsid w:val="00E80001"/>
    <w:rsid w:val="00E80064"/>
    <w:rsid w:val="00E801D2"/>
    <w:rsid w:val="00E80AA9"/>
    <w:rsid w:val="00E815D8"/>
    <w:rsid w:val="00E81702"/>
    <w:rsid w:val="00E81839"/>
    <w:rsid w:val="00E818C5"/>
    <w:rsid w:val="00E818CC"/>
    <w:rsid w:val="00E81B42"/>
    <w:rsid w:val="00E823FB"/>
    <w:rsid w:val="00E82B16"/>
    <w:rsid w:val="00E82C27"/>
    <w:rsid w:val="00E83482"/>
    <w:rsid w:val="00E839D6"/>
    <w:rsid w:val="00E8437C"/>
    <w:rsid w:val="00E84A38"/>
    <w:rsid w:val="00E852D4"/>
    <w:rsid w:val="00E85D74"/>
    <w:rsid w:val="00E85E1C"/>
    <w:rsid w:val="00E86C33"/>
    <w:rsid w:val="00E86FCB"/>
    <w:rsid w:val="00E879BD"/>
    <w:rsid w:val="00E87DA9"/>
    <w:rsid w:val="00E90109"/>
    <w:rsid w:val="00E9061E"/>
    <w:rsid w:val="00E90832"/>
    <w:rsid w:val="00E90886"/>
    <w:rsid w:val="00E9090D"/>
    <w:rsid w:val="00E90AE4"/>
    <w:rsid w:val="00E9165A"/>
    <w:rsid w:val="00E91BC6"/>
    <w:rsid w:val="00E91BCA"/>
    <w:rsid w:val="00E91E93"/>
    <w:rsid w:val="00E92198"/>
    <w:rsid w:val="00E92437"/>
    <w:rsid w:val="00E9285D"/>
    <w:rsid w:val="00E92C28"/>
    <w:rsid w:val="00E92D9D"/>
    <w:rsid w:val="00E93D50"/>
    <w:rsid w:val="00E93DD0"/>
    <w:rsid w:val="00E95300"/>
    <w:rsid w:val="00E956FD"/>
    <w:rsid w:val="00E957AF"/>
    <w:rsid w:val="00E960B0"/>
    <w:rsid w:val="00E96230"/>
    <w:rsid w:val="00E963AF"/>
    <w:rsid w:val="00E967DB"/>
    <w:rsid w:val="00E96BD0"/>
    <w:rsid w:val="00E97080"/>
    <w:rsid w:val="00E97641"/>
    <w:rsid w:val="00E979D9"/>
    <w:rsid w:val="00E97ABF"/>
    <w:rsid w:val="00E97BE6"/>
    <w:rsid w:val="00EA18C7"/>
    <w:rsid w:val="00EA1D9D"/>
    <w:rsid w:val="00EA2514"/>
    <w:rsid w:val="00EA2AD5"/>
    <w:rsid w:val="00EA2AF1"/>
    <w:rsid w:val="00EA2F63"/>
    <w:rsid w:val="00EA31C9"/>
    <w:rsid w:val="00EA389D"/>
    <w:rsid w:val="00EA3A82"/>
    <w:rsid w:val="00EA3D32"/>
    <w:rsid w:val="00EA445B"/>
    <w:rsid w:val="00EA5DA3"/>
    <w:rsid w:val="00EA69F1"/>
    <w:rsid w:val="00EA72BF"/>
    <w:rsid w:val="00EA7A83"/>
    <w:rsid w:val="00EA7D55"/>
    <w:rsid w:val="00EB01C5"/>
    <w:rsid w:val="00EB07CE"/>
    <w:rsid w:val="00EB09EF"/>
    <w:rsid w:val="00EB0D14"/>
    <w:rsid w:val="00EB0D27"/>
    <w:rsid w:val="00EB105B"/>
    <w:rsid w:val="00EB1090"/>
    <w:rsid w:val="00EB218B"/>
    <w:rsid w:val="00EB2651"/>
    <w:rsid w:val="00EB2A08"/>
    <w:rsid w:val="00EB2CA2"/>
    <w:rsid w:val="00EB34E5"/>
    <w:rsid w:val="00EB3915"/>
    <w:rsid w:val="00EB3AB7"/>
    <w:rsid w:val="00EB3DFE"/>
    <w:rsid w:val="00EB4E45"/>
    <w:rsid w:val="00EB4F95"/>
    <w:rsid w:val="00EB5085"/>
    <w:rsid w:val="00EB5183"/>
    <w:rsid w:val="00EB52A8"/>
    <w:rsid w:val="00EB5751"/>
    <w:rsid w:val="00EB57FC"/>
    <w:rsid w:val="00EB606B"/>
    <w:rsid w:val="00EB6DE4"/>
    <w:rsid w:val="00EB6FD6"/>
    <w:rsid w:val="00EB756D"/>
    <w:rsid w:val="00EB7936"/>
    <w:rsid w:val="00EB7B31"/>
    <w:rsid w:val="00EB7B40"/>
    <w:rsid w:val="00EC01A1"/>
    <w:rsid w:val="00EC01BD"/>
    <w:rsid w:val="00EC01F3"/>
    <w:rsid w:val="00EC030B"/>
    <w:rsid w:val="00EC0432"/>
    <w:rsid w:val="00EC048B"/>
    <w:rsid w:val="00EC04F8"/>
    <w:rsid w:val="00EC0797"/>
    <w:rsid w:val="00EC0B1B"/>
    <w:rsid w:val="00EC0F5E"/>
    <w:rsid w:val="00EC111F"/>
    <w:rsid w:val="00EC13DC"/>
    <w:rsid w:val="00EC1AE4"/>
    <w:rsid w:val="00EC1CED"/>
    <w:rsid w:val="00EC1F61"/>
    <w:rsid w:val="00EC2A25"/>
    <w:rsid w:val="00EC32AC"/>
    <w:rsid w:val="00EC3309"/>
    <w:rsid w:val="00EC3499"/>
    <w:rsid w:val="00EC3C71"/>
    <w:rsid w:val="00EC3DCA"/>
    <w:rsid w:val="00EC41A4"/>
    <w:rsid w:val="00EC4271"/>
    <w:rsid w:val="00EC42F9"/>
    <w:rsid w:val="00EC49D2"/>
    <w:rsid w:val="00EC4D57"/>
    <w:rsid w:val="00EC5034"/>
    <w:rsid w:val="00EC5037"/>
    <w:rsid w:val="00EC532C"/>
    <w:rsid w:val="00EC579F"/>
    <w:rsid w:val="00EC5BE8"/>
    <w:rsid w:val="00EC621C"/>
    <w:rsid w:val="00EC634D"/>
    <w:rsid w:val="00EC6AD8"/>
    <w:rsid w:val="00EC6B2F"/>
    <w:rsid w:val="00EC6CC1"/>
    <w:rsid w:val="00ED0BF6"/>
    <w:rsid w:val="00ED0D03"/>
    <w:rsid w:val="00ED174F"/>
    <w:rsid w:val="00ED1B44"/>
    <w:rsid w:val="00ED1EDB"/>
    <w:rsid w:val="00ED221A"/>
    <w:rsid w:val="00ED2547"/>
    <w:rsid w:val="00ED277A"/>
    <w:rsid w:val="00ED2937"/>
    <w:rsid w:val="00ED2AFE"/>
    <w:rsid w:val="00ED2B5A"/>
    <w:rsid w:val="00ED2BCA"/>
    <w:rsid w:val="00ED2FDD"/>
    <w:rsid w:val="00ED3B3D"/>
    <w:rsid w:val="00ED5492"/>
    <w:rsid w:val="00ED5B8A"/>
    <w:rsid w:val="00ED648B"/>
    <w:rsid w:val="00ED68FC"/>
    <w:rsid w:val="00ED71D6"/>
    <w:rsid w:val="00ED7DFC"/>
    <w:rsid w:val="00EE017A"/>
    <w:rsid w:val="00EE019A"/>
    <w:rsid w:val="00EE041B"/>
    <w:rsid w:val="00EE07AD"/>
    <w:rsid w:val="00EE1197"/>
    <w:rsid w:val="00EE12E6"/>
    <w:rsid w:val="00EE14BF"/>
    <w:rsid w:val="00EE155A"/>
    <w:rsid w:val="00EE1773"/>
    <w:rsid w:val="00EE17CF"/>
    <w:rsid w:val="00EE1F91"/>
    <w:rsid w:val="00EE2037"/>
    <w:rsid w:val="00EE21E7"/>
    <w:rsid w:val="00EE2327"/>
    <w:rsid w:val="00EE2E93"/>
    <w:rsid w:val="00EE3254"/>
    <w:rsid w:val="00EE3D46"/>
    <w:rsid w:val="00EE3EA6"/>
    <w:rsid w:val="00EE41D4"/>
    <w:rsid w:val="00EE41DC"/>
    <w:rsid w:val="00EE453D"/>
    <w:rsid w:val="00EE48D8"/>
    <w:rsid w:val="00EE49B3"/>
    <w:rsid w:val="00EE4B88"/>
    <w:rsid w:val="00EE4E1E"/>
    <w:rsid w:val="00EE4E4E"/>
    <w:rsid w:val="00EE4EB9"/>
    <w:rsid w:val="00EE520E"/>
    <w:rsid w:val="00EE531B"/>
    <w:rsid w:val="00EE5342"/>
    <w:rsid w:val="00EE5D73"/>
    <w:rsid w:val="00EE5DAC"/>
    <w:rsid w:val="00EE5DC5"/>
    <w:rsid w:val="00EE5EED"/>
    <w:rsid w:val="00EE618C"/>
    <w:rsid w:val="00EE6213"/>
    <w:rsid w:val="00EE662B"/>
    <w:rsid w:val="00EE6773"/>
    <w:rsid w:val="00EE6AB9"/>
    <w:rsid w:val="00EE6DB7"/>
    <w:rsid w:val="00EE6DE2"/>
    <w:rsid w:val="00EE6DE4"/>
    <w:rsid w:val="00EE73D6"/>
    <w:rsid w:val="00EE743C"/>
    <w:rsid w:val="00EE7F17"/>
    <w:rsid w:val="00EE7F2D"/>
    <w:rsid w:val="00EF0002"/>
    <w:rsid w:val="00EF043E"/>
    <w:rsid w:val="00EF04DF"/>
    <w:rsid w:val="00EF10CE"/>
    <w:rsid w:val="00EF125D"/>
    <w:rsid w:val="00EF16CF"/>
    <w:rsid w:val="00EF17B7"/>
    <w:rsid w:val="00EF196F"/>
    <w:rsid w:val="00EF1BC1"/>
    <w:rsid w:val="00EF1C57"/>
    <w:rsid w:val="00EF2415"/>
    <w:rsid w:val="00EF26FA"/>
    <w:rsid w:val="00EF27C4"/>
    <w:rsid w:val="00EF2BA5"/>
    <w:rsid w:val="00EF2C14"/>
    <w:rsid w:val="00EF2CBE"/>
    <w:rsid w:val="00EF335C"/>
    <w:rsid w:val="00EF33CF"/>
    <w:rsid w:val="00EF41C8"/>
    <w:rsid w:val="00EF4AA3"/>
    <w:rsid w:val="00EF5110"/>
    <w:rsid w:val="00EF515E"/>
    <w:rsid w:val="00EF52B7"/>
    <w:rsid w:val="00EF5740"/>
    <w:rsid w:val="00EF60DF"/>
    <w:rsid w:val="00EF610E"/>
    <w:rsid w:val="00EF7281"/>
    <w:rsid w:val="00EF72A6"/>
    <w:rsid w:val="00EF73EA"/>
    <w:rsid w:val="00EF76B5"/>
    <w:rsid w:val="00EF76B6"/>
    <w:rsid w:val="00EF7932"/>
    <w:rsid w:val="00EF79B1"/>
    <w:rsid w:val="00F00A04"/>
    <w:rsid w:val="00F00ED6"/>
    <w:rsid w:val="00F01274"/>
    <w:rsid w:val="00F01B5E"/>
    <w:rsid w:val="00F01F17"/>
    <w:rsid w:val="00F023DB"/>
    <w:rsid w:val="00F037D2"/>
    <w:rsid w:val="00F03FB8"/>
    <w:rsid w:val="00F046E9"/>
    <w:rsid w:val="00F04AD7"/>
    <w:rsid w:val="00F04D89"/>
    <w:rsid w:val="00F051C7"/>
    <w:rsid w:val="00F051DE"/>
    <w:rsid w:val="00F05CA6"/>
    <w:rsid w:val="00F0623D"/>
    <w:rsid w:val="00F06792"/>
    <w:rsid w:val="00F06AEE"/>
    <w:rsid w:val="00F06F0D"/>
    <w:rsid w:val="00F071B8"/>
    <w:rsid w:val="00F07317"/>
    <w:rsid w:val="00F10687"/>
    <w:rsid w:val="00F107F8"/>
    <w:rsid w:val="00F10CC2"/>
    <w:rsid w:val="00F1104F"/>
    <w:rsid w:val="00F1106D"/>
    <w:rsid w:val="00F11845"/>
    <w:rsid w:val="00F11AB4"/>
    <w:rsid w:val="00F11B35"/>
    <w:rsid w:val="00F11D06"/>
    <w:rsid w:val="00F11D35"/>
    <w:rsid w:val="00F12163"/>
    <w:rsid w:val="00F1256D"/>
    <w:rsid w:val="00F1265A"/>
    <w:rsid w:val="00F12A35"/>
    <w:rsid w:val="00F12B81"/>
    <w:rsid w:val="00F12D51"/>
    <w:rsid w:val="00F12EA8"/>
    <w:rsid w:val="00F130CA"/>
    <w:rsid w:val="00F131CD"/>
    <w:rsid w:val="00F13260"/>
    <w:rsid w:val="00F13371"/>
    <w:rsid w:val="00F137AC"/>
    <w:rsid w:val="00F13D6F"/>
    <w:rsid w:val="00F148AF"/>
    <w:rsid w:val="00F14CB9"/>
    <w:rsid w:val="00F14F07"/>
    <w:rsid w:val="00F153BA"/>
    <w:rsid w:val="00F15460"/>
    <w:rsid w:val="00F1564A"/>
    <w:rsid w:val="00F156CE"/>
    <w:rsid w:val="00F1581C"/>
    <w:rsid w:val="00F15AA9"/>
    <w:rsid w:val="00F15D33"/>
    <w:rsid w:val="00F16411"/>
    <w:rsid w:val="00F16756"/>
    <w:rsid w:val="00F1686C"/>
    <w:rsid w:val="00F16A95"/>
    <w:rsid w:val="00F16CC8"/>
    <w:rsid w:val="00F16E20"/>
    <w:rsid w:val="00F16EDC"/>
    <w:rsid w:val="00F17976"/>
    <w:rsid w:val="00F17C41"/>
    <w:rsid w:val="00F17C5A"/>
    <w:rsid w:val="00F201BD"/>
    <w:rsid w:val="00F2039E"/>
    <w:rsid w:val="00F2053B"/>
    <w:rsid w:val="00F20D63"/>
    <w:rsid w:val="00F213B6"/>
    <w:rsid w:val="00F216A2"/>
    <w:rsid w:val="00F21AD4"/>
    <w:rsid w:val="00F21BF4"/>
    <w:rsid w:val="00F21C3D"/>
    <w:rsid w:val="00F21CD4"/>
    <w:rsid w:val="00F2276E"/>
    <w:rsid w:val="00F22F8C"/>
    <w:rsid w:val="00F23137"/>
    <w:rsid w:val="00F232A9"/>
    <w:rsid w:val="00F2356D"/>
    <w:rsid w:val="00F23E2D"/>
    <w:rsid w:val="00F24E75"/>
    <w:rsid w:val="00F25288"/>
    <w:rsid w:val="00F253E3"/>
    <w:rsid w:val="00F255A1"/>
    <w:rsid w:val="00F255FC"/>
    <w:rsid w:val="00F25D0A"/>
    <w:rsid w:val="00F25E25"/>
    <w:rsid w:val="00F26326"/>
    <w:rsid w:val="00F26A69"/>
    <w:rsid w:val="00F27740"/>
    <w:rsid w:val="00F27AA4"/>
    <w:rsid w:val="00F27CA0"/>
    <w:rsid w:val="00F27E00"/>
    <w:rsid w:val="00F27EA6"/>
    <w:rsid w:val="00F3046B"/>
    <w:rsid w:val="00F3081E"/>
    <w:rsid w:val="00F30CCA"/>
    <w:rsid w:val="00F30F31"/>
    <w:rsid w:val="00F30FE3"/>
    <w:rsid w:val="00F31747"/>
    <w:rsid w:val="00F31C11"/>
    <w:rsid w:val="00F31C27"/>
    <w:rsid w:val="00F31DC8"/>
    <w:rsid w:val="00F32A09"/>
    <w:rsid w:val="00F3394D"/>
    <w:rsid w:val="00F34059"/>
    <w:rsid w:val="00F34585"/>
    <w:rsid w:val="00F34B14"/>
    <w:rsid w:val="00F34CB8"/>
    <w:rsid w:val="00F35230"/>
    <w:rsid w:val="00F35601"/>
    <w:rsid w:val="00F35B13"/>
    <w:rsid w:val="00F35B56"/>
    <w:rsid w:val="00F35CE5"/>
    <w:rsid w:val="00F3645E"/>
    <w:rsid w:val="00F366B1"/>
    <w:rsid w:val="00F36748"/>
    <w:rsid w:val="00F36788"/>
    <w:rsid w:val="00F36A7B"/>
    <w:rsid w:val="00F36FE5"/>
    <w:rsid w:val="00F370BA"/>
    <w:rsid w:val="00F37123"/>
    <w:rsid w:val="00F3732E"/>
    <w:rsid w:val="00F37DB0"/>
    <w:rsid w:val="00F40207"/>
    <w:rsid w:val="00F403C0"/>
    <w:rsid w:val="00F40B6B"/>
    <w:rsid w:val="00F40B81"/>
    <w:rsid w:val="00F41369"/>
    <w:rsid w:val="00F4166F"/>
    <w:rsid w:val="00F41D76"/>
    <w:rsid w:val="00F41F1D"/>
    <w:rsid w:val="00F42327"/>
    <w:rsid w:val="00F42D40"/>
    <w:rsid w:val="00F42E11"/>
    <w:rsid w:val="00F43745"/>
    <w:rsid w:val="00F438F7"/>
    <w:rsid w:val="00F43BB4"/>
    <w:rsid w:val="00F4450F"/>
    <w:rsid w:val="00F446CE"/>
    <w:rsid w:val="00F44D48"/>
    <w:rsid w:val="00F44D7C"/>
    <w:rsid w:val="00F44FE6"/>
    <w:rsid w:val="00F45049"/>
    <w:rsid w:val="00F45156"/>
    <w:rsid w:val="00F453CC"/>
    <w:rsid w:val="00F453E0"/>
    <w:rsid w:val="00F45923"/>
    <w:rsid w:val="00F45FCD"/>
    <w:rsid w:val="00F46080"/>
    <w:rsid w:val="00F46223"/>
    <w:rsid w:val="00F46537"/>
    <w:rsid w:val="00F46625"/>
    <w:rsid w:val="00F46940"/>
    <w:rsid w:val="00F46AC7"/>
    <w:rsid w:val="00F46BB9"/>
    <w:rsid w:val="00F4708A"/>
    <w:rsid w:val="00F47154"/>
    <w:rsid w:val="00F472C2"/>
    <w:rsid w:val="00F4744D"/>
    <w:rsid w:val="00F47B6C"/>
    <w:rsid w:val="00F500BC"/>
    <w:rsid w:val="00F501FB"/>
    <w:rsid w:val="00F50305"/>
    <w:rsid w:val="00F504CF"/>
    <w:rsid w:val="00F50B60"/>
    <w:rsid w:val="00F50F1B"/>
    <w:rsid w:val="00F51185"/>
    <w:rsid w:val="00F51609"/>
    <w:rsid w:val="00F51D44"/>
    <w:rsid w:val="00F52372"/>
    <w:rsid w:val="00F524DC"/>
    <w:rsid w:val="00F5295A"/>
    <w:rsid w:val="00F5317B"/>
    <w:rsid w:val="00F531E7"/>
    <w:rsid w:val="00F53B33"/>
    <w:rsid w:val="00F53BC9"/>
    <w:rsid w:val="00F54010"/>
    <w:rsid w:val="00F54481"/>
    <w:rsid w:val="00F545AE"/>
    <w:rsid w:val="00F55E66"/>
    <w:rsid w:val="00F55F42"/>
    <w:rsid w:val="00F56616"/>
    <w:rsid w:val="00F57515"/>
    <w:rsid w:val="00F57734"/>
    <w:rsid w:val="00F5793E"/>
    <w:rsid w:val="00F57BDD"/>
    <w:rsid w:val="00F57D48"/>
    <w:rsid w:val="00F57E69"/>
    <w:rsid w:val="00F6006E"/>
    <w:rsid w:val="00F60AE3"/>
    <w:rsid w:val="00F60D26"/>
    <w:rsid w:val="00F612BE"/>
    <w:rsid w:val="00F612DE"/>
    <w:rsid w:val="00F61674"/>
    <w:rsid w:val="00F617F9"/>
    <w:rsid w:val="00F61D0B"/>
    <w:rsid w:val="00F61E8D"/>
    <w:rsid w:val="00F6200F"/>
    <w:rsid w:val="00F63238"/>
    <w:rsid w:val="00F633EE"/>
    <w:rsid w:val="00F63B8C"/>
    <w:rsid w:val="00F63BB3"/>
    <w:rsid w:val="00F640E7"/>
    <w:rsid w:val="00F64839"/>
    <w:rsid w:val="00F64FF3"/>
    <w:rsid w:val="00F652F4"/>
    <w:rsid w:val="00F65392"/>
    <w:rsid w:val="00F65492"/>
    <w:rsid w:val="00F6590D"/>
    <w:rsid w:val="00F65D6B"/>
    <w:rsid w:val="00F65D7B"/>
    <w:rsid w:val="00F66A31"/>
    <w:rsid w:val="00F66B85"/>
    <w:rsid w:val="00F66EB6"/>
    <w:rsid w:val="00F671EF"/>
    <w:rsid w:val="00F67368"/>
    <w:rsid w:val="00F678D7"/>
    <w:rsid w:val="00F67D0B"/>
    <w:rsid w:val="00F67DA8"/>
    <w:rsid w:val="00F700DC"/>
    <w:rsid w:val="00F70440"/>
    <w:rsid w:val="00F704DA"/>
    <w:rsid w:val="00F712A9"/>
    <w:rsid w:val="00F71613"/>
    <w:rsid w:val="00F71708"/>
    <w:rsid w:val="00F71C7F"/>
    <w:rsid w:val="00F728C3"/>
    <w:rsid w:val="00F729AC"/>
    <w:rsid w:val="00F72BDF"/>
    <w:rsid w:val="00F73107"/>
    <w:rsid w:val="00F73840"/>
    <w:rsid w:val="00F73A4E"/>
    <w:rsid w:val="00F73FE1"/>
    <w:rsid w:val="00F744EA"/>
    <w:rsid w:val="00F74A2A"/>
    <w:rsid w:val="00F74B8A"/>
    <w:rsid w:val="00F750BB"/>
    <w:rsid w:val="00F75BE4"/>
    <w:rsid w:val="00F75CEC"/>
    <w:rsid w:val="00F76339"/>
    <w:rsid w:val="00F7668F"/>
    <w:rsid w:val="00F76E6B"/>
    <w:rsid w:val="00F771EF"/>
    <w:rsid w:val="00F774C5"/>
    <w:rsid w:val="00F77A68"/>
    <w:rsid w:val="00F77D59"/>
    <w:rsid w:val="00F80354"/>
    <w:rsid w:val="00F806E5"/>
    <w:rsid w:val="00F80C8B"/>
    <w:rsid w:val="00F811A4"/>
    <w:rsid w:val="00F811B2"/>
    <w:rsid w:val="00F814CD"/>
    <w:rsid w:val="00F81F97"/>
    <w:rsid w:val="00F830E7"/>
    <w:rsid w:val="00F83908"/>
    <w:rsid w:val="00F844F9"/>
    <w:rsid w:val="00F845D1"/>
    <w:rsid w:val="00F84819"/>
    <w:rsid w:val="00F84E15"/>
    <w:rsid w:val="00F854EE"/>
    <w:rsid w:val="00F8565E"/>
    <w:rsid w:val="00F8579B"/>
    <w:rsid w:val="00F85AC1"/>
    <w:rsid w:val="00F85DD9"/>
    <w:rsid w:val="00F86595"/>
    <w:rsid w:val="00F8669A"/>
    <w:rsid w:val="00F86860"/>
    <w:rsid w:val="00F8688C"/>
    <w:rsid w:val="00F87284"/>
    <w:rsid w:val="00F87825"/>
    <w:rsid w:val="00F87CFE"/>
    <w:rsid w:val="00F87F8D"/>
    <w:rsid w:val="00F90647"/>
    <w:rsid w:val="00F90740"/>
    <w:rsid w:val="00F9082C"/>
    <w:rsid w:val="00F909EF"/>
    <w:rsid w:val="00F90AF0"/>
    <w:rsid w:val="00F91A0A"/>
    <w:rsid w:val="00F91BCA"/>
    <w:rsid w:val="00F91F49"/>
    <w:rsid w:val="00F91F70"/>
    <w:rsid w:val="00F92271"/>
    <w:rsid w:val="00F92420"/>
    <w:rsid w:val="00F92712"/>
    <w:rsid w:val="00F92873"/>
    <w:rsid w:val="00F928DE"/>
    <w:rsid w:val="00F92BF7"/>
    <w:rsid w:val="00F92DBB"/>
    <w:rsid w:val="00F92E9A"/>
    <w:rsid w:val="00F93059"/>
    <w:rsid w:val="00F932B7"/>
    <w:rsid w:val="00F9346C"/>
    <w:rsid w:val="00F93644"/>
    <w:rsid w:val="00F93654"/>
    <w:rsid w:val="00F937AE"/>
    <w:rsid w:val="00F93878"/>
    <w:rsid w:val="00F93DC8"/>
    <w:rsid w:val="00F94739"/>
    <w:rsid w:val="00F947B2"/>
    <w:rsid w:val="00F94D81"/>
    <w:rsid w:val="00F950DA"/>
    <w:rsid w:val="00F95117"/>
    <w:rsid w:val="00F9589E"/>
    <w:rsid w:val="00F962E4"/>
    <w:rsid w:val="00F96362"/>
    <w:rsid w:val="00F9636A"/>
    <w:rsid w:val="00F968CA"/>
    <w:rsid w:val="00F96BF7"/>
    <w:rsid w:val="00F97A96"/>
    <w:rsid w:val="00FA093D"/>
    <w:rsid w:val="00FA095F"/>
    <w:rsid w:val="00FA0A0D"/>
    <w:rsid w:val="00FA0EA1"/>
    <w:rsid w:val="00FA1808"/>
    <w:rsid w:val="00FA19F1"/>
    <w:rsid w:val="00FA1AAE"/>
    <w:rsid w:val="00FA1D49"/>
    <w:rsid w:val="00FA1DC0"/>
    <w:rsid w:val="00FA1ED8"/>
    <w:rsid w:val="00FA2191"/>
    <w:rsid w:val="00FA2260"/>
    <w:rsid w:val="00FA2403"/>
    <w:rsid w:val="00FA25F0"/>
    <w:rsid w:val="00FA26B7"/>
    <w:rsid w:val="00FA277E"/>
    <w:rsid w:val="00FA2AC9"/>
    <w:rsid w:val="00FA2DBA"/>
    <w:rsid w:val="00FA3156"/>
    <w:rsid w:val="00FA31C3"/>
    <w:rsid w:val="00FA3B12"/>
    <w:rsid w:val="00FA3B37"/>
    <w:rsid w:val="00FA3EC1"/>
    <w:rsid w:val="00FA41F1"/>
    <w:rsid w:val="00FA428B"/>
    <w:rsid w:val="00FA4337"/>
    <w:rsid w:val="00FA436D"/>
    <w:rsid w:val="00FA4732"/>
    <w:rsid w:val="00FA4A1A"/>
    <w:rsid w:val="00FA4DAE"/>
    <w:rsid w:val="00FA4E75"/>
    <w:rsid w:val="00FA5F3E"/>
    <w:rsid w:val="00FA6618"/>
    <w:rsid w:val="00FA667E"/>
    <w:rsid w:val="00FA6788"/>
    <w:rsid w:val="00FA68B8"/>
    <w:rsid w:val="00FA68C4"/>
    <w:rsid w:val="00FA6F89"/>
    <w:rsid w:val="00FA751F"/>
    <w:rsid w:val="00FA78B3"/>
    <w:rsid w:val="00FA78DF"/>
    <w:rsid w:val="00FA7B81"/>
    <w:rsid w:val="00FA7ECA"/>
    <w:rsid w:val="00FB0174"/>
    <w:rsid w:val="00FB01D0"/>
    <w:rsid w:val="00FB01F4"/>
    <w:rsid w:val="00FB0262"/>
    <w:rsid w:val="00FB05C3"/>
    <w:rsid w:val="00FB0843"/>
    <w:rsid w:val="00FB09AB"/>
    <w:rsid w:val="00FB0D47"/>
    <w:rsid w:val="00FB0EC2"/>
    <w:rsid w:val="00FB1187"/>
    <w:rsid w:val="00FB1589"/>
    <w:rsid w:val="00FB18B9"/>
    <w:rsid w:val="00FB1B56"/>
    <w:rsid w:val="00FB220F"/>
    <w:rsid w:val="00FB237F"/>
    <w:rsid w:val="00FB23DC"/>
    <w:rsid w:val="00FB2535"/>
    <w:rsid w:val="00FB2549"/>
    <w:rsid w:val="00FB2926"/>
    <w:rsid w:val="00FB2EDB"/>
    <w:rsid w:val="00FB3031"/>
    <w:rsid w:val="00FB307E"/>
    <w:rsid w:val="00FB3208"/>
    <w:rsid w:val="00FB3406"/>
    <w:rsid w:val="00FB374B"/>
    <w:rsid w:val="00FB3EEA"/>
    <w:rsid w:val="00FB4128"/>
    <w:rsid w:val="00FB4135"/>
    <w:rsid w:val="00FB47E8"/>
    <w:rsid w:val="00FB4EC2"/>
    <w:rsid w:val="00FB4F6A"/>
    <w:rsid w:val="00FB54C7"/>
    <w:rsid w:val="00FB5724"/>
    <w:rsid w:val="00FB5DA2"/>
    <w:rsid w:val="00FB66BF"/>
    <w:rsid w:val="00FB66C4"/>
    <w:rsid w:val="00FB6739"/>
    <w:rsid w:val="00FB67BC"/>
    <w:rsid w:val="00FB6860"/>
    <w:rsid w:val="00FB6E79"/>
    <w:rsid w:val="00FB6ED0"/>
    <w:rsid w:val="00FB7026"/>
    <w:rsid w:val="00FB73FB"/>
    <w:rsid w:val="00FB79C9"/>
    <w:rsid w:val="00FC00AE"/>
    <w:rsid w:val="00FC0968"/>
    <w:rsid w:val="00FC0C5C"/>
    <w:rsid w:val="00FC0CDE"/>
    <w:rsid w:val="00FC1949"/>
    <w:rsid w:val="00FC1961"/>
    <w:rsid w:val="00FC1D93"/>
    <w:rsid w:val="00FC1ED0"/>
    <w:rsid w:val="00FC2187"/>
    <w:rsid w:val="00FC233D"/>
    <w:rsid w:val="00FC2E2A"/>
    <w:rsid w:val="00FC2FA8"/>
    <w:rsid w:val="00FC3080"/>
    <w:rsid w:val="00FC42FA"/>
    <w:rsid w:val="00FC4336"/>
    <w:rsid w:val="00FC4A5A"/>
    <w:rsid w:val="00FC4D9F"/>
    <w:rsid w:val="00FC5538"/>
    <w:rsid w:val="00FC5697"/>
    <w:rsid w:val="00FC6035"/>
    <w:rsid w:val="00FC606A"/>
    <w:rsid w:val="00FC6078"/>
    <w:rsid w:val="00FC65C6"/>
    <w:rsid w:val="00FC6A6E"/>
    <w:rsid w:val="00FC6D39"/>
    <w:rsid w:val="00FC6E01"/>
    <w:rsid w:val="00FC73AD"/>
    <w:rsid w:val="00FC7588"/>
    <w:rsid w:val="00FC7867"/>
    <w:rsid w:val="00FC7FB4"/>
    <w:rsid w:val="00FD003A"/>
    <w:rsid w:val="00FD0151"/>
    <w:rsid w:val="00FD04D0"/>
    <w:rsid w:val="00FD0D0F"/>
    <w:rsid w:val="00FD11DC"/>
    <w:rsid w:val="00FD1912"/>
    <w:rsid w:val="00FD1922"/>
    <w:rsid w:val="00FD19E7"/>
    <w:rsid w:val="00FD1AF0"/>
    <w:rsid w:val="00FD1D3A"/>
    <w:rsid w:val="00FD1E81"/>
    <w:rsid w:val="00FD1F20"/>
    <w:rsid w:val="00FD1F8C"/>
    <w:rsid w:val="00FD1F9B"/>
    <w:rsid w:val="00FD250C"/>
    <w:rsid w:val="00FD2924"/>
    <w:rsid w:val="00FD29CA"/>
    <w:rsid w:val="00FD2C3D"/>
    <w:rsid w:val="00FD2E29"/>
    <w:rsid w:val="00FD2FDD"/>
    <w:rsid w:val="00FD35E3"/>
    <w:rsid w:val="00FD3DAD"/>
    <w:rsid w:val="00FD455A"/>
    <w:rsid w:val="00FD45C7"/>
    <w:rsid w:val="00FD4A1F"/>
    <w:rsid w:val="00FD4F8C"/>
    <w:rsid w:val="00FD5078"/>
    <w:rsid w:val="00FD58C9"/>
    <w:rsid w:val="00FD5DA9"/>
    <w:rsid w:val="00FD6860"/>
    <w:rsid w:val="00FD69EC"/>
    <w:rsid w:val="00FD7146"/>
    <w:rsid w:val="00FD74BF"/>
    <w:rsid w:val="00FD786E"/>
    <w:rsid w:val="00FD7EEA"/>
    <w:rsid w:val="00FE0325"/>
    <w:rsid w:val="00FE0388"/>
    <w:rsid w:val="00FE0B8B"/>
    <w:rsid w:val="00FE0C69"/>
    <w:rsid w:val="00FE0FCD"/>
    <w:rsid w:val="00FE124F"/>
    <w:rsid w:val="00FE12E1"/>
    <w:rsid w:val="00FE1790"/>
    <w:rsid w:val="00FE1BAF"/>
    <w:rsid w:val="00FE267D"/>
    <w:rsid w:val="00FE2E32"/>
    <w:rsid w:val="00FE324B"/>
    <w:rsid w:val="00FE3309"/>
    <w:rsid w:val="00FE362A"/>
    <w:rsid w:val="00FE3888"/>
    <w:rsid w:val="00FE39D1"/>
    <w:rsid w:val="00FE3B01"/>
    <w:rsid w:val="00FE3FBB"/>
    <w:rsid w:val="00FE3FEF"/>
    <w:rsid w:val="00FE4061"/>
    <w:rsid w:val="00FE44E1"/>
    <w:rsid w:val="00FE4648"/>
    <w:rsid w:val="00FE4EB1"/>
    <w:rsid w:val="00FE5415"/>
    <w:rsid w:val="00FE5B34"/>
    <w:rsid w:val="00FE5B96"/>
    <w:rsid w:val="00FE5DD8"/>
    <w:rsid w:val="00FE6137"/>
    <w:rsid w:val="00FE64A1"/>
    <w:rsid w:val="00FE6750"/>
    <w:rsid w:val="00FE6F78"/>
    <w:rsid w:val="00FE6FDA"/>
    <w:rsid w:val="00FE713F"/>
    <w:rsid w:val="00FE7682"/>
    <w:rsid w:val="00FE7791"/>
    <w:rsid w:val="00FE7EED"/>
    <w:rsid w:val="00FE7F06"/>
    <w:rsid w:val="00FF00F4"/>
    <w:rsid w:val="00FF0614"/>
    <w:rsid w:val="00FF07A5"/>
    <w:rsid w:val="00FF07C3"/>
    <w:rsid w:val="00FF0AD9"/>
    <w:rsid w:val="00FF14D9"/>
    <w:rsid w:val="00FF1617"/>
    <w:rsid w:val="00FF1B59"/>
    <w:rsid w:val="00FF26D9"/>
    <w:rsid w:val="00FF31F3"/>
    <w:rsid w:val="00FF3B36"/>
    <w:rsid w:val="00FF3BC6"/>
    <w:rsid w:val="00FF46BC"/>
    <w:rsid w:val="00FF46C9"/>
    <w:rsid w:val="00FF4C44"/>
    <w:rsid w:val="00FF4EB5"/>
    <w:rsid w:val="00FF5291"/>
    <w:rsid w:val="00FF52E6"/>
    <w:rsid w:val="00FF5788"/>
    <w:rsid w:val="00FF619B"/>
    <w:rsid w:val="00FF64CB"/>
    <w:rsid w:val="00FF7B9B"/>
    <w:rsid w:val="013F47FE"/>
    <w:rsid w:val="0162113D"/>
    <w:rsid w:val="01A08FD5"/>
    <w:rsid w:val="01BE7E4A"/>
    <w:rsid w:val="01E0BB26"/>
    <w:rsid w:val="0209ED1B"/>
    <w:rsid w:val="02A44833"/>
    <w:rsid w:val="035687D7"/>
    <w:rsid w:val="035A49D9"/>
    <w:rsid w:val="036372A6"/>
    <w:rsid w:val="037738BA"/>
    <w:rsid w:val="039599A2"/>
    <w:rsid w:val="03AC2A53"/>
    <w:rsid w:val="03BBB961"/>
    <w:rsid w:val="0401CF39"/>
    <w:rsid w:val="04079D75"/>
    <w:rsid w:val="040E10C5"/>
    <w:rsid w:val="042389D0"/>
    <w:rsid w:val="0425FBC6"/>
    <w:rsid w:val="0480AD65"/>
    <w:rsid w:val="04B72DD8"/>
    <w:rsid w:val="04E5BD1D"/>
    <w:rsid w:val="054EA1D6"/>
    <w:rsid w:val="055819C0"/>
    <w:rsid w:val="059C1B2C"/>
    <w:rsid w:val="05C39E41"/>
    <w:rsid w:val="05C79416"/>
    <w:rsid w:val="0634CC40"/>
    <w:rsid w:val="064BA296"/>
    <w:rsid w:val="065BDEF0"/>
    <w:rsid w:val="0662F8B2"/>
    <w:rsid w:val="06BF47DF"/>
    <w:rsid w:val="06E6664B"/>
    <w:rsid w:val="06FAF662"/>
    <w:rsid w:val="07431212"/>
    <w:rsid w:val="0748C72A"/>
    <w:rsid w:val="07E5C50C"/>
    <w:rsid w:val="07F7D8A7"/>
    <w:rsid w:val="081D8F10"/>
    <w:rsid w:val="084C9A53"/>
    <w:rsid w:val="08794282"/>
    <w:rsid w:val="0884AC00"/>
    <w:rsid w:val="08D4F898"/>
    <w:rsid w:val="09637C37"/>
    <w:rsid w:val="0989E1FD"/>
    <w:rsid w:val="098B8A0D"/>
    <w:rsid w:val="09E5DA03"/>
    <w:rsid w:val="0A1444C3"/>
    <w:rsid w:val="0A1AF0F2"/>
    <w:rsid w:val="0A5F92A9"/>
    <w:rsid w:val="0AD26287"/>
    <w:rsid w:val="0B09FFF4"/>
    <w:rsid w:val="0B253E98"/>
    <w:rsid w:val="0B46FA8C"/>
    <w:rsid w:val="0B820E83"/>
    <w:rsid w:val="0B998DC0"/>
    <w:rsid w:val="0C0285EE"/>
    <w:rsid w:val="0C0DDF87"/>
    <w:rsid w:val="0C25EBE8"/>
    <w:rsid w:val="0C2D41CF"/>
    <w:rsid w:val="0C3DCB4C"/>
    <w:rsid w:val="0C683AFD"/>
    <w:rsid w:val="0C80670E"/>
    <w:rsid w:val="0D894C31"/>
    <w:rsid w:val="0DA14787"/>
    <w:rsid w:val="0DB1229A"/>
    <w:rsid w:val="0DB1ECF1"/>
    <w:rsid w:val="0DC6C2A0"/>
    <w:rsid w:val="0DF3E882"/>
    <w:rsid w:val="0EAB3CF6"/>
    <w:rsid w:val="0EAF5A15"/>
    <w:rsid w:val="0ED58E73"/>
    <w:rsid w:val="0EE1DBAA"/>
    <w:rsid w:val="0EFEF4E0"/>
    <w:rsid w:val="0F4AFF36"/>
    <w:rsid w:val="0F569F61"/>
    <w:rsid w:val="0F67D171"/>
    <w:rsid w:val="0FB0E7A6"/>
    <w:rsid w:val="0FB77A80"/>
    <w:rsid w:val="10328068"/>
    <w:rsid w:val="103D73D9"/>
    <w:rsid w:val="10F454D0"/>
    <w:rsid w:val="11550721"/>
    <w:rsid w:val="1188AF26"/>
    <w:rsid w:val="11A17801"/>
    <w:rsid w:val="11BB1A12"/>
    <w:rsid w:val="11E35CAA"/>
    <w:rsid w:val="11F10FEE"/>
    <w:rsid w:val="126B56F9"/>
    <w:rsid w:val="12D0A4AC"/>
    <w:rsid w:val="136E087B"/>
    <w:rsid w:val="136F8A7A"/>
    <w:rsid w:val="13B1451C"/>
    <w:rsid w:val="13DA2626"/>
    <w:rsid w:val="13F50457"/>
    <w:rsid w:val="141D64EC"/>
    <w:rsid w:val="1452ADF8"/>
    <w:rsid w:val="146B25D4"/>
    <w:rsid w:val="1491186D"/>
    <w:rsid w:val="14C5B37E"/>
    <w:rsid w:val="151C573D"/>
    <w:rsid w:val="151E2B9B"/>
    <w:rsid w:val="1571E19D"/>
    <w:rsid w:val="15D34A93"/>
    <w:rsid w:val="1610E054"/>
    <w:rsid w:val="16632349"/>
    <w:rsid w:val="17650E3C"/>
    <w:rsid w:val="17714B03"/>
    <w:rsid w:val="179E7FE2"/>
    <w:rsid w:val="17A13D97"/>
    <w:rsid w:val="17AD3211"/>
    <w:rsid w:val="18031437"/>
    <w:rsid w:val="181CC6C0"/>
    <w:rsid w:val="18D144AC"/>
    <w:rsid w:val="18E014D9"/>
    <w:rsid w:val="1A90D492"/>
    <w:rsid w:val="1AB12B7C"/>
    <w:rsid w:val="1AF0E084"/>
    <w:rsid w:val="1B386949"/>
    <w:rsid w:val="1BA8D3DB"/>
    <w:rsid w:val="1BBFD322"/>
    <w:rsid w:val="1BE1FF70"/>
    <w:rsid w:val="1BF0242A"/>
    <w:rsid w:val="1BF5413A"/>
    <w:rsid w:val="1C1CF35B"/>
    <w:rsid w:val="1CEB7DA7"/>
    <w:rsid w:val="1D10EE1C"/>
    <w:rsid w:val="1D2AA16D"/>
    <w:rsid w:val="1D397FF4"/>
    <w:rsid w:val="1D48592A"/>
    <w:rsid w:val="1D4B8514"/>
    <w:rsid w:val="1D86BE0D"/>
    <w:rsid w:val="1DFE3C92"/>
    <w:rsid w:val="1E079A8E"/>
    <w:rsid w:val="1E349EA8"/>
    <w:rsid w:val="1E576C30"/>
    <w:rsid w:val="1EB8895C"/>
    <w:rsid w:val="1F325C35"/>
    <w:rsid w:val="1FEE128D"/>
    <w:rsid w:val="1FF879D6"/>
    <w:rsid w:val="2004B0D7"/>
    <w:rsid w:val="201308B6"/>
    <w:rsid w:val="2053BADA"/>
    <w:rsid w:val="2054102D"/>
    <w:rsid w:val="20716762"/>
    <w:rsid w:val="208F3C5C"/>
    <w:rsid w:val="20B81F77"/>
    <w:rsid w:val="20CAF471"/>
    <w:rsid w:val="20E4133B"/>
    <w:rsid w:val="2152FFA8"/>
    <w:rsid w:val="216CFBEB"/>
    <w:rsid w:val="217C0835"/>
    <w:rsid w:val="21BB0E55"/>
    <w:rsid w:val="21FE71AD"/>
    <w:rsid w:val="2205FBA9"/>
    <w:rsid w:val="2268C677"/>
    <w:rsid w:val="226D1097"/>
    <w:rsid w:val="22BE34FA"/>
    <w:rsid w:val="22D5DA7D"/>
    <w:rsid w:val="22DFFD0E"/>
    <w:rsid w:val="23218C00"/>
    <w:rsid w:val="2338936F"/>
    <w:rsid w:val="236D6664"/>
    <w:rsid w:val="23825446"/>
    <w:rsid w:val="23F8C819"/>
    <w:rsid w:val="24AC92C4"/>
    <w:rsid w:val="24D86E18"/>
    <w:rsid w:val="24F965CF"/>
    <w:rsid w:val="2523609E"/>
    <w:rsid w:val="2525C665"/>
    <w:rsid w:val="255B2985"/>
    <w:rsid w:val="258ED4D9"/>
    <w:rsid w:val="25E6C29E"/>
    <w:rsid w:val="260410D0"/>
    <w:rsid w:val="2632E85D"/>
    <w:rsid w:val="26576CBA"/>
    <w:rsid w:val="26849134"/>
    <w:rsid w:val="268F6719"/>
    <w:rsid w:val="26E35EB0"/>
    <w:rsid w:val="2730CB6A"/>
    <w:rsid w:val="274AED2C"/>
    <w:rsid w:val="2792A5DE"/>
    <w:rsid w:val="27A1335E"/>
    <w:rsid w:val="27A62EE3"/>
    <w:rsid w:val="27ADAC56"/>
    <w:rsid w:val="27E52714"/>
    <w:rsid w:val="2814CD15"/>
    <w:rsid w:val="281ABF47"/>
    <w:rsid w:val="281F9C4E"/>
    <w:rsid w:val="283D94B6"/>
    <w:rsid w:val="289610D5"/>
    <w:rsid w:val="28F1A99A"/>
    <w:rsid w:val="28FDCE4C"/>
    <w:rsid w:val="2946675E"/>
    <w:rsid w:val="296F4F95"/>
    <w:rsid w:val="299D279C"/>
    <w:rsid w:val="2A16D04B"/>
    <w:rsid w:val="2A303F88"/>
    <w:rsid w:val="2A46C1E4"/>
    <w:rsid w:val="2A6EBC83"/>
    <w:rsid w:val="2ABDDAC3"/>
    <w:rsid w:val="2B43EF51"/>
    <w:rsid w:val="2BA682E3"/>
    <w:rsid w:val="2BBD9AC0"/>
    <w:rsid w:val="2BEC9B70"/>
    <w:rsid w:val="2BF1A20D"/>
    <w:rsid w:val="2C018120"/>
    <w:rsid w:val="2C1F9CEF"/>
    <w:rsid w:val="2C305EF6"/>
    <w:rsid w:val="2C5B0E80"/>
    <w:rsid w:val="2C7E06D7"/>
    <w:rsid w:val="2CDC16B4"/>
    <w:rsid w:val="2CEABB94"/>
    <w:rsid w:val="2D07B3B6"/>
    <w:rsid w:val="2D113894"/>
    <w:rsid w:val="2D31515D"/>
    <w:rsid w:val="2D81C0AC"/>
    <w:rsid w:val="2D94873C"/>
    <w:rsid w:val="2DCEB03D"/>
    <w:rsid w:val="2F84902A"/>
    <w:rsid w:val="2F876003"/>
    <w:rsid w:val="2F9F315C"/>
    <w:rsid w:val="2FD0EB96"/>
    <w:rsid w:val="303513EE"/>
    <w:rsid w:val="306BAD8C"/>
    <w:rsid w:val="30705DAC"/>
    <w:rsid w:val="30908F41"/>
    <w:rsid w:val="3108A99F"/>
    <w:rsid w:val="3134387F"/>
    <w:rsid w:val="31B843AD"/>
    <w:rsid w:val="31D2E235"/>
    <w:rsid w:val="31D5FE96"/>
    <w:rsid w:val="321C1D5B"/>
    <w:rsid w:val="321FF776"/>
    <w:rsid w:val="325DA60E"/>
    <w:rsid w:val="33442F65"/>
    <w:rsid w:val="334BC2AF"/>
    <w:rsid w:val="339C6AD8"/>
    <w:rsid w:val="33BEAEB0"/>
    <w:rsid w:val="344F492A"/>
    <w:rsid w:val="345D0446"/>
    <w:rsid w:val="34C23FDB"/>
    <w:rsid w:val="34DCC774"/>
    <w:rsid w:val="34E2A60B"/>
    <w:rsid w:val="352F2976"/>
    <w:rsid w:val="35566ED9"/>
    <w:rsid w:val="35B177C7"/>
    <w:rsid w:val="35B9D6DF"/>
    <w:rsid w:val="35E3C602"/>
    <w:rsid w:val="36002E9F"/>
    <w:rsid w:val="36042F0F"/>
    <w:rsid w:val="36914710"/>
    <w:rsid w:val="36AE9C3D"/>
    <w:rsid w:val="36AF2D74"/>
    <w:rsid w:val="36BAD647"/>
    <w:rsid w:val="36CAE541"/>
    <w:rsid w:val="3726F591"/>
    <w:rsid w:val="37309C9F"/>
    <w:rsid w:val="37641F44"/>
    <w:rsid w:val="376740BD"/>
    <w:rsid w:val="381797AF"/>
    <w:rsid w:val="38729E82"/>
    <w:rsid w:val="38A3735C"/>
    <w:rsid w:val="38C774BF"/>
    <w:rsid w:val="393D0D08"/>
    <w:rsid w:val="39A06A7F"/>
    <w:rsid w:val="39C9AE86"/>
    <w:rsid w:val="3A01EE8B"/>
    <w:rsid w:val="3A03F1A7"/>
    <w:rsid w:val="3AB3F97C"/>
    <w:rsid w:val="3B032415"/>
    <w:rsid w:val="3B86A7B2"/>
    <w:rsid w:val="3BCC2C27"/>
    <w:rsid w:val="3BD2C8B0"/>
    <w:rsid w:val="3C22BC3F"/>
    <w:rsid w:val="3C27ACCA"/>
    <w:rsid w:val="3C4A2268"/>
    <w:rsid w:val="3C54DA0A"/>
    <w:rsid w:val="3C5A37DA"/>
    <w:rsid w:val="3C6F74DF"/>
    <w:rsid w:val="3CEFEE3E"/>
    <w:rsid w:val="3CF19622"/>
    <w:rsid w:val="3CF7CA6A"/>
    <w:rsid w:val="3D94D452"/>
    <w:rsid w:val="3DD788FB"/>
    <w:rsid w:val="3E166988"/>
    <w:rsid w:val="3E1E3F65"/>
    <w:rsid w:val="3E8E1F75"/>
    <w:rsid w:val="3E8F03A1"/>
    <w:rsid w:val="3F3A5077"/>
    <w:rsid w:val="3F3D64B0"/>
    <w:rsid w:val="3F415DBA"/>
    <w:rsid w:val="3F709D0A"/>
    <w:rsid w:val="3FC6713E"/>
    <w:rsid w:val="3FC9CDD3"/>
    <w:rsid w:val="3FCFA87C"/>
    <w:rsid w:val="3FDF790D"/>
    <w:rsid w:val="40546F2D"/>
    <w:rsid w:val="40D60ADE"/>
    <w:rsid w:val="4127A170"/>
    <w:rsid w:val="4139C5CB"/>
    <w:rsid w:val="41960814"/>
    <w:rsid w:val="419EA9E5"/>
    <w:rsid w:val="41B7640A"/>
    <w:rsid w:val="42A41DC2"/>
    <w:rsid w:val="4321825D"/>
    <w:rsid w:val="4331B663"/>
    <w:rsid w:val="4379DF4A"/>
    <w:rsid w:val="438B2E35"/>
    <w:rsid w:val="43F20D98"/>
    <w:rsid w:val="4418E225"/>
    <w:rsid w:val="445A34DF"/>
    <w:rsid w:val="446707A1"/>
    <w:rsid w:val="44865469"/>
    <w:rsid w:val="44CFD349"/>
    <w:rsid w:val="45231839"/>
    <w:rsid w:val="453ED059"/>
    <w:rsid w:val="459633C5"/>
    <w:rsid w:val="45DBFBD7"/>
    <w:rsid w:val="466BBAF8"/>
    <w:rsid w:val="46826496"/>
    <w:rsid w:val="46B5772D"/>
    <w:rsid w:val="46C7CFE2"/>
    <w:rsid w:val="47091D14"/>
    <w:rsid w:val="474ADE20"/>
    <w:rsid w:val="4773E47A"/>
    <w:rsid w:val="478239BF"/>
    <w:rsid w:val="47CEF5A4"/>
    <w:rsid w:val="481C2C98"/>
    <w:rsid w:val="489D61BA"/>
    <w:rsid w:val="48A04266"/>
    <w:rsid w:val="48E0F69C"/>
    <w:rsid w:val="48FB1086"/>
    <w:rsid w:val="48FF3DF0"/>
    <w:rsid w:val="498DAE4D"/>
    <w:rsid w:val="498FBB8A"/>
    <w:rsid w:val="49914BA5"/>
    <w:rsid w:val="4A74754A"/>
    <w:rsid w:val="4ACA72AE"/>
    <w:rsid w:val="4B97E108"/>
    <w:rsid w:val="4BCE3C84"/>
    <w:rsid w:val="4BCED61E"/>
    <w:rsid w:val="4C22A1DC"/>
    <w:rsid w:val="4C55A480"/>
    <w:rsid w:val="4C60CA17"/>
    <w:rsid w:val="4D019E95"/>
    <w:rsid w:val="4D13AB5E"/>
    <w:rsid w:val="4D7756F7"/>
    <w:rsid w:val="4E6B34BE"/>
    <w:rsid w:val="4E796714"/>
    <w:rsid w:val="4E7995C3"/>
    <w:rsid w:val="4E828C7B"/>
    <w:rsid w:val="4EAD245D"/>
    <w:rsid w:val="4ED7BCF2"/>
    <w:rsid w:val="4F01A29A"/>
    <w:rsid w:val="4F02190C"/>
    <w:rsid w:val="4F0E6748"/>
    <w:rsid w:val="4F1A6273"/>
    <w:rsid w:val="4F437B85"/>
    <w:rsid w:val="4F6222B0"/>
    <w:rsid w:val="4F799D23"/>
    <w:rsid w:val="4F912E93"/>
    <w:rsid w:val="4FCAA602"/>
    <w:rsid w:val="4FDA264A"/>
    <w:rsid w:val="5017CB6C"/>
    <w:rsid w:val="5058151D"/>
    <w:rsid w:val="5069E153"/>
    <w:rsid w:val="50A10EDC"/>
    <w:rsid w:val="50B2C2C6"/>
    <w:rsid w:val="50E1B16C"/>
    <w:rsid w:val="514A36E8"/>
    <w:rsid w:val="518E1339"/>
    <w:rsid w:val="51E65785"/>
    <w:rsid w:val="51F1D59C"/>
    <w:rsid w:val="525AD0CE"/>
    <w:rsid w:val="52F8FA75"/>
    <w:rsid w:val="5330B9AD"/>
    <w:rsid w:val="5368D0C4"/>
    <w:rsid w:val="536E5682"/>
    <w:rsid w:val="53F0BC7C"/>
    <w:rsid w:val="5404E2D7"/>
    <w:rsid w:val="548B2B77"/>
    <w:rsid w:val="548D3A6F"/>
    <w:rsid w:val="54E15385"/>
    <w:rsid w:val="54EB0678"/>
    <w:rsid w:val="5507D1D1"/>
    <w:rsid w:val="5516FCBB"/>
    <w:rsid w:val="55217567"/>
    <w:rsid w:val="553CF363"/>
    <w:rsid w:val="553F11EB"/>
    <w:rsid w:val="55570FE2"/>
    <w:rsid w:val="555993F4"/>
    <w:rsid w:val="555DEC2A"/>
    <w:rsid w:val="55B947F4"/>
    <w:rsid w:val="55DFF5FD"/>
    <w:rsid w:val="563EE8F8"/>
    <w:rsid w:val="564CD61D"/>
    <w:rsid w:val="569E544D"/>
    <w:rsid w:val="573C3279"/>
    <w:rsid w:val="573D2CFE"/>
    <w:rsid w:val="573E1C02"/>
    <w:rsid w:val="57825B57"/>
    <w:rsid w:val="57FF8736"/>
    <w:rsid w:val="5800893D"/>
    <w:rsid w:val="5821A444"/>
    <w:rsid w:val="5850F6CD"/>
    <w:rsid w:val="587155D8"/>
    <w:rsid w:val="594E2B11"/>
    <w:rsid w:val="5962C6F5"/>
    <w:rsid w:val="59761D0A"/>
    <w:rsid w:val="597819A8"/>
    <w:rsid w:val="5983DF67"/>
    <w:rsid w:val="59F1FD17"/>
    <w:rsid w:val="5A0D1371"/>
    <w:rsid w:val="5B53B159"/>
    <w:rsid w:val="5B8CE26D"/>
    <w:rsid w:val="5BF692C0"/>
    <w:rsid w:val="5C07F8BC"/>
    <w:rsid w:val="5CA2DAAE"/>
    <w:rsid w:val="5D271BA6"/>
    <w:rsid w:val="5D2FC091"/>
    <w:rsid w:val="5D444B97"/>
    <w:rsid w:val="5D955068"/>
    <w:rsid w:val="5E00D545"/>
    <w:rsid w:val="5E5A3553"/>
    <w:rsid w:val="5EEF5211"/>
    <w:rsid w:val="5EF9397F"/>
    <w:rsid w:val="5EFF26CD"/>
    <w:rsid w:val="5F58DFBF"/>
    <w:rsid w:val="5F8AD5B5"/>
    <w:rsid w:val="5FA9F87B"/>
    <w:rsid w:val="5FF17DC0"/>
    <w:rsid w:val="60530FFC"/>
    <w:rsid w:val="60B1328E"/>
    <w:rsid w:val="60B54DD9"/>
    <w:rsid w:val="60DA96D1"/>
    <w:rsid w:val="60EBFF50"/>
    <w:rsid w:val="61120B7A"/>
    <w:rsid w:val="61687F8F"/>
    <w:rsid w:val="617BFEDE"/>
    <w:rsid w:val="6196EFFC"/>
    <w:rsid w:val="61C8BD7C"/>
    <w:rsid w:val="61F2E379"/>
    <w:rsid w:val="62A3B279"/>
    <w:rsid w:val="62A60A3C"/>
    <w:rsid w:val="62BF8969"/>
    <w:rsid w:val="62F9DA8F"/>
    <w:rsid w:val="63193D57"/>
    <w:rsid w:val="635C1E39"/>
    <w:rsid w:val="637362AC"/>
    <w:rsid w:val="6489B0C3"/>
    <w:rsid w:val="64906A81"/>
    <w:rsid w:val="64F2C2D4"/>
    <w:rsid w:val="6506708A"/>
    <w:rsid w:val="6508B6E2"/>
    <w:rsid w:val="650B2456"/>
    <w:rsid w:val="65C7AD32"/>
    <w:rsid w:val="65EE5608"/>
    <w:rsid w:val="662995BC"/>
    <w:rsid w:val="66545EA8"/>
    <w:rsid w:val="66728EB5"/>
    <w:rsid w:val="667AB6CB"/>
    <w:rsid w:val="66A2B141"/>
    <w:rsid w:val="66AACCD8"/>
    <w:rsid w:val="675C5F28"/>
    <w:rsid w:val="683A7BE2"/>
    <w:rsid w:val="68ABB97D"/>
    <w:rsid w:val="6A37ACF9"/>
    <w:rsid w:val="6A41E80A"/>
    <w:rsid w:val="6A9F16D0"/>
    <w:rsid w:val="6AB68FCA"/>
    <w:rsid w:val="6AC5CEA2"/>
    <w:rsid w:val="6B099DA4"/>
    <w:rsid w:val="6B15ED9A"/>
    <w:rsid w:val="6B30085E"/>
    <w:rsid w:val="6B5B35AE"/>
    <w:rsid w:val="6BBA8290"/>
    <w:rsid w:val="6BDE9ABA"/>
    <w:rsid w:val="6C17F60C"/>
    <w:rsid w:val="6CAFB1F9"/>
    <w:rsid w:val="6CC957BE"/>
    <w:rsid w:val="6CEB8108"/>
    <w:rsid w:val="6D8E6F0A"/>
    <w:rsid w:val="6D9EF529"/>
    <w:rsid w:val="6DEF917C"/>
    <w:rsid w:val="6E12A140"/>
    <w:rsid w:val="6E1FDA34"/>
    <w:rsid w:val="6E9CE314"/>
    <w:rsid w:val="6EF7B1E7"/>
    <w:rsid w:val="6EF8BDFC"/>
    <w:rsid w:val="6F95C453"/>
    <w:rsid w:val="6FAA2E91"/>
    <w:rsid w:val="6FDEBE7C"/>
    <w:rsid w:val="7003B05F"/>
    <w:rsid w:val="7019150E"/>
    <w:rsid w:val="7022DB7A"/>
    <w:rsid w:val="705C01FE"/>
    <w:rsid w:val="70890E42"/>
    <w:rsid w:val="70C4B5B8"/>
    <w:rsid w:val="7102EC61"/>
    <w:rsid w:val="712C748D"/>
    <w:rsid w:val="719D2987"/>
    <w:rsid w:val="71CBA915"/>
    <w:rsid w:val="727F2C0D"/>
    <w:rsid w:val="72DCCBEE"/>
    <w:rsid w:val="72E9F212"/>
    <w:rsid w:val="7358C7FB"/>
    <w:rsid w:val="737B356B"/>
    <w:rsid w:val="738E8B57"/>
    <w:rsid w:val="741463C6"/>
    <w:rsid w:val="746F63BF"/>
    <w:rsid w:val="74E520FC"/>
    <w:rsid w:val="74F0C6C3"/>
    <w:rsid w:val="74F86023"/>
    <w:rsid w:val="751434FB"/>
    <w:rsid w:val="75306632"/>
    <w:rsid w:val="756C4C9B"/>
    <w:rsid w:val="75906274"/>
    <w:rsid w:val="7597BF89"/>
    <w:rsid w:val="7615ED92"/>
    <w:rsid w:val="763EC0DE"/>
    <w:rsid w:val="76517206"/>
    <w:rsid w:val="7674E9EB"/>
    <w:rsid w:val="771A02E6"/>
    <w:rsid w:val="77406DF6"/>
    <w:rsid w:val="77ABC9DE"/>
    <w:rsid w:val="77E9E51E"/>
    <w:rsid w:val="787A5E4C"/>
    <w:rsid w:val="78826865"/>
    <w:rsid w:val="789E6B44"/>
    <w:rsid w:val="78AF8E09"/>
    <w:rsid w:val="78C0922B"/>
    <w:rsid w:val="78E52BB4"/>
    <w:rsid w:val="78FA31C7"/>
    <w:rsid w:val="7A372B26"/>
    <w:rsid w:val="7A4E2727"/>
    <w:rsid w:val="7A59F119"/>
    <w:rsid w:val="7A880DDB"/>
    <w:rsid w:val="7AC41D17"/>
    <w:rsid w:val="7ACA74EB"/>
    <w:rsid w:val="7AE55E9E"/>
    <w:rsid w:val="7B3F62B4"/>
    <w:rsid w:val="7BCB4860"/>
    <w:rsid w:val="7BDA315A"/>
    <w:rsid w:val="7BDF7EC5"/>
    <w:rsid w:val="7C16EAB2"/>
    <w:rsid w:val="7C33FE8F"/>
    <w:rsid w:val="7C7918B5"/>
    <w:rsid w:val="7C956E06"/>
    <w:rsid w:val="7C9F0294"/>
    <w:rsid w:val="7CB4FCA9"/>
    <w:rsid w:val="7D56B123"/>
    <w:rsid w:val="7D7E26FB"/>
    <w:rsid w:val="7D8FFE44"/>
    <w:rsid w:val="7EB4E6C2"/>
    <w:rsid w:val="7EE1068A"/>
    <w:rsid w:val="7EE7CFD6"/>
    <w:rsid w:val="7F3A67DF"/>
    <w:rsid w:val="7F54046C"/>
    <w:rsid w:val="7F693FE2"/>
    <w:rsid w:val="7F6A39CF"/>
    <w:rsid w:val="7F74988A"/>
    <w:rsid w:val="7F8CB9BE"/>
    <w:rsid w:val="7FAB5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C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62DF1"/>
  </w:style>
  <w:style w:type="paragraph" w:styleId="Heading1">
    <w:name w:val="heading 1"/>
    <w:basedOn w:val="Normal"/>
    <w:next w:val="Normal"/>
    <w:link w:val="Heading1Char"/>
    <w:uiPriority w:val="9"/>
    <w:qFormat/>
    <w:rsid w:val="00262DF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62DF1"/>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62DF1"/>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nhideWhenUsed/>
    <w:qFormat/>
    <w:rsid w:val="00262DF1"/>
    <w:pPr>
      <w:spacing w:before="120" w:after="240" w:line="240" w:lineRule="auto"/>
      <w:jc w:val="center"/>
      <w:outlineLvl w:val="3"/>
    </w:pPr>
    <w:rPr>
      <w:rFonts w:ascii="Times New Roman" w:hAnsi="Times New Roman" w:eastAsia="Times New Roman" w:cs="Times New Roman"/>
      <w:b/>
      <w:kern w:val="0"/>
      <w:sz w:val="24"/>
      <w:szCs w:val="24"/>
      <w14:ligatures w14:val="none"/>
    </w:rPr>
  </w:style>
  <w:style w:type="paragraph" w:styleId="Heading6">
    <w:name w:val="heading 6"/>
    <w:basedOn w:val="Normal"/>
    <w:next w:val="Normal"/>
    <w:link w:val="Heading6Char"/>
    <w:uiPriority w:val="9"/>
    <w:semiHidden/>
    <w:unhideWhenUsed/>
    <w:qFormat/>
    <w:rsid w:val="00262DF1"/>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262DF1"/>
    <w:pPr>
      <w:keepNext/>
      <w:keepLines/>
      <w:spacing w:before="40" w:after="0"/>
      <w:outlineLvl w:val="6"/>
    </w:pPr>
    <w:rPr>
      <w:rFonts w:asciiTheme="majorHAnsi" w:hAnsiTheme="majorHAnsi" w:eastAsiaTheme="majorEastAsia" w:cstheme="majorBidi"/>
      <w:i/>
      <w:iCs/>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FirstIndent">
    <w:name w:val="Body Text First Indent"/>
    <w:basedOn w:val="BodyText"/>
    <w:link w:val="BodyTextFirstIndentChar"/>
    <w:uiPriority w:val="99"/>
    <w:semiHidden/>
    <w:unhideWhenUsed/>
    <w:rsid w:val="00262DF1"/>
    <w:pPr>
      <w:spacing w:after="160"/>
      <w:ind w:firstLine="360"/>
    </w:pPr>
  </w:style>
  <w:style w:type="character" w:styleId="Heading6Char" w:customStyle="1">
    <w:name w:val="Heading 6 Char"/>
    <w:basedOn w:val="DefaultParagraphFont"/>
    <w:link w:val="Heading6"/>
    <w:uiPriority w:val="9"/>
    <w:semiHidden/>
    <w:rsid w:val="00262DF1"/>
    <w:rPr>
      <w:rFonts w:asciiTheme="majorHAnsi" w:hAnsiTheme="majorHAnsi" w:eastAsiaTheme="majorEastAsia" w:cstheme="majorBidi"/>
      <w:color w:val="1F3763" w:themeColor="accent1" w:themeShade="7F"/>
    </w:rPr>
  </w:style>
  <w:style w:type="paragraph" w:styleId="zGTitle36Calibri" w:customStyle="1">
    <w:name w:val="zGTitle 36 (Calibri)"/>
    <w:link w:val="zGTitle36CalibriChar"/>
    <w:uiPriority w:val="4"/>
    <w:rsid w:val="00262DF1"/>
    <w:pPr>
      <w:widowControl w:val="0"/>
      <w:spacing w:after="360"/>
      <w:jc w:val="center"/>
    </w:pPr>
    <w:rPr>
      <w:rFonts w:ascii="Calibri" w:hAnsi="Calibri" w:eastAsia="Times New Roman" w:cstheme="minorHAnsi"/>
      <w:b/>
      <w:kern w:val="14"/>
      <w:sz w:val="72"/>
      <w:szCs w:val="72"/>
      <w14:ligatures w14:val="none"/>
    </w:rPr>
  </w:style>
  <w:style w:type="paragraph" w:styleId="zGFooterLine" w:customStyle="1">
    <w:name w:val="zGFooterLine"/>
    <w:basedOn w:val="Normal"/>
    <w:uiPriority w:val="5"/>
    <w:rsid w:val="00262DF1"/>
    <w:pPr>
      <w:widowControl w:val="0"/>
      <w:pBdr>
        <w:bottom w:val="single" w:color="auto" w:sz="2" w:space="1"/>
      </w:pBdr>
      <w:tabs>
        <w:tab w:val="center" w:pos="5040"/>
        <w:tab w:val="right" w:pos="8630"/>
      </w:tabs>
      <w:autoSpaceDE w:val="0"/>
      <w:autoSpaceDN w:val="0"/>
      <w:adjustRightInd w:val="0"/>
      <w:spacing w:after="80" w:line="240" w:lineRule="auto"/>
      <w:jc w:val="both"/>
    </w:pPr>
    <w:rPr>
      <w:rFonts w:ascii="Arial" w:hAnsi="Arial" w:cs="Times New Roman" w:eastAsiaTheme="minorEastAsia"/>
      <w:spacing w:val="-6"/>
      <w:kern w:val="14"/>
      <w:sz w:val="8"/>
      <w:szCs w:val="24"/>
      <w14:ligatures w14:val="none"/>
    </w:rPr>
  </w:style>
  <w:style w:type="character" w:styleId="zGTitle11Char" w:customStyle="1">
    <w:name w:val="zGTitle11 Char"/>
    <w:basedOn w:val="DefaultParagraphFont"/>
    <w:link w:val="zGTitle11"/>
    <w:uiPriority w:val="4"/>
    <w:rsid w:val="00262DF1"/>
    <w:rPr>
      <w:rFonts w:ascii="Arial" w:hAnsi="Arial" w:eastAsia="Times New Roman" w:cs="Times New Roman"/>
      <w:b/>
      <w:spacing w:val="-6"/>
      <w:kern w:val="14"/>
      <w:szCs w:val="20"/>
      <w14:ligatures w14:val="none"/>
    </w:rPr>
  </w:style>
  <w:style w:type="paragraph" w:styleId="ArticlePara2" w:customStyle="1">
    <w:name w:val="Article Para 2"/>
    <w:basedOn w:val="ArticleL2"/>
    <w:next w:val="BodyText"/>
    <w:rsid w:val="00262DF1"/>
    <w:pPr>
      <w:ind w:left="90"/>
      <w:outlineLvl w:val="9"/>
    </w:pPr>
  </w:style>
  <w:style w:type="paragraph" w:styleId="zG01" w:customStyle="1">
    <w:name w:val="zG01"/>
    <w:basedOn w:val="Normal"/>
    <w:next w:val="Normal"/>
    <w:uiPriority w:val="24"/>
    <w:rsid w:val="00262DF1"/>
    <w:pPr>
      <w:keepNext/>
      <w:widowControl w:val="0"/>
      <w:numPr>
        <w:numId w:val="25"/>
      </w:numPr>
      <w:autoSpaceDE w:val="0"/>
      <w:autoSpaceDN w:val="0"/>
      <w:adjustRightInd w:val="0"/>
      <w:spacing w:before="240" w:after="60" w:line="240" w:lineRule="auto"/>
      <w:jc w:val="both"/>
      <w:outlineLvl w:val="0"/>
    </w:pPr>
    <w:rPr>
      <w:rFonts w:ascii="Arial" w:hAnsi="Arial" w:cs="Arial" w:eastAsiaTheme="minorEastAsia"/>
      <w:b/>
      <w:caps/>
      <w:spacing w:val="-6"/>
      <w:kern w:val="14"/>
      <w:sz w:val="20"/>
      <w:szCs w:val="20"/>
      <w14:ligatures w14:val="none"/>
    </w:rPr>
  </w:style>
  <w:style w:type="paragraph" w:styleId="zGBody1" w:customStyle="1">
    <w:name w:val="zGBody 1"/>
    <w:basedOn w:val="zGNormal"/>
    <w:next w:val="zGBody2"/>
    <w:link w:val="zGBody1Char"/>
    <w:uiPriority w:val="2"/>
    <w:qFormat/>
    <w:rsid w:val="00262DF1"/>
    <w:pPr>
      <w:keepNext/>
      <w:numPr>
        <w:numId w:val="26"/>
      </w:numPr>
      <w:spacing w:before="480" w:after="240"/>
    </w:pPr>
    <w:rPr>
      <w:rFonts w:ascii="Arial Bold" w:hAnsi="Arial Bold"/>
      <w:b/>
      <w:caps/>
      <w:u w:val="single"/>
    </w:rPr>
  </w:style>
  <w:style w:type="character" w:styleId="zG01Char" w:customStyle="1">
    <w:name w:val="zG01 Char"/>
    <w:basedOn w:val="DefaultParagraphFont"/>
    <w:uiPriority w:val="49"/>
    <w:semiHidden/>
    <w:rsid w:val="00262DF1"/>
    <w:rPr>
      <w:rFonts w:cs="Arial"/>
      <w:b/>
      <w:caps/>
    </w:rPr>
  </w:style>
  <w:style w:type="character" w:styleId="zGBody1Char" w:customStyle="1">
    <w:name w:val="zGBody 1 Char"/>
    <w:basedOn w:val="zGNormalChar"/>
    <w:link w:val="zGBody1"/>
    <w:uiPriority w:val="2"/>
    <w:rsid w:val="00262DF1"/>
    <w:rPr>
      <w:rFonts w:ascii="Arial Bold" w:hAnsi="Arial Bold" w:cs="Arial" w:eastAsiaTheme="minorEastAsia"/>
      <w:b/>
      <w:caps/>
      <w:kern w:val="14"/>
      <w:sz w:val="20"/>
      <w:szCs w:val="20"/>
      <w:u w:val="single"/>
      <w14:ligatures w14:val="none"/>
    </w:rPr>
  </w:style>
  <w:style w:type="character" w:styleId="zGEditorNote" w:customStyle="1">
    <w:name w:val="zGEditorNote"/>
    <w:uiPriority w:val="5"/>
    <w:rsid w:val="00262DF1"/>
    <w:rPr>
      <w:rFonts w:ascii="Arial" w:hAnsi="Arial"/>
      <w:b/>
      <w:i/>
      <w:color w:val="FFFFFF"/>
      <w:spacing w:val="-4"/>
      <w:sz w:val="20"/>
      <w:shd w:val="clear" w:color="auto" w:fill="006600"/>
    </w:rPr>
  </w:style>
  <w:style w:type="paragraph" w:styleId="zG02" w:customStyle="1">
    <w:name w:val="zG02"/>
    <w:basedOn w:val="Normal"/>
    <w:uiPriority w:val="24"/>
    <w:rsid w:val="00262DF1"/>
    <w:pPr>
      <w:widowControl w:val="0"/>
      <w:numPr>
        <w:ilvl w:val="1"/>
        <w:numId w:val="25"/>
      </w:numPr>
      <w:tabs>
        <w:tab w:val="left" w:pos="576"/>
      </w:tabs>
      <w:autoSpaceDE w:val="0"/>
      <w:autoSpaceDN w:val="0"/>
      <w:adjustRightInd w:val="0"/>
      <w:spacing w:before="120" w:after="0" w:line="240" w:lineRule="auto"/>
      <w:jc w:val="both"/>
      <w:outlineLvl w:val="1"/>
    </w:pPr>
    <w:rPr>
      <w:rFonts w:ascii="Arial" w:hAnsi="Arial" w:cs="Arial" w:eastAsiaTheme="minorEastAsia"/>
      <w:spacing w:val="-6"/>
      <w:kern w:val="14"/>
      <w:sz w:val="20"/>
      <w:szCs w:val="20"/>
      <w14:ligatures w14:val="none"/>
    </w:rPr>
  </w:style>
  <w:style w:type="paragraph" w:styleId="zGBody2" w:customStyle="1">
    <w:name w:val="zGBody 2"/>
    <w:basedOn w:val="zGNormal"/>
    <w:link w:val="zGBody2Char"/>
    <w:uiPriority w:val="2"/>
    <w:qFormat/>
    <w:rsid w:val="00262DF1"/>
    <w:pPr>
      <w:keepNext/>
      <w:numPr>
        <w:ilvl w:val="1"/>
        <w:numId w:val="26"/>
      </w:numPr>
      <w:spacing w:before="360" w:after="120"/>
    </w:pPr>
    <w:rPr>
      <w:rFonts w:ascii="Arial Bold" w:hAnsi="Arial Bold"/>
      <w:b/>
    </w:rPr>
  </w:style>
  <w:style w:type="paragraph" w:styleId="zGTC05" w:customStyle="1">
    <w:name w:val="zGTC05"/>
    <w:basedOn w:val="zGNormal"/>
    <w:link w:val="zGTC05Char"/>
    <w:qFormat/>
    <w:rsid w:val="00262DF1"/>
    <w:pPr>
      <w:numPr>
        <w:ilvl w:val="4"/>
        <w:numId w:val="32"/>
      </w:numPr>
      <w:autoSpaceDE/>
      <w:autoSpaceDN/>
      <w:adjustRightInd/>
      <w:spacing w:before="60" w:after="60"/>
    </w:pPr>
    <w:rPr>
      <w:rFonts w:eastAsia="Times New Roman" w:cs="Times New Roman"/>
      <w:szCs w:val="24"/>
    </w:rPr>
  </w:style>
  <w:style w:type="character" w:styleId="zG02Char" w:customStyle="1">
    <w:name w:val="zG02 Char"/>
    <w:basedOn w:val="zG01Char"/>
    <w:uiPriority w:val="49"/>
    <w:semiHidden/>
    <w:rsid w:val="00262DF1"/>
    <w:rPr>
      <w:rFonts w:cs="Arial"/>
      <w:b w:val="0"/>
      <w:caps w:val="0"/>
    </w:rPr>
  </w:style>
  <w:style w:type="character" w:styleId="zGBody2Char" w:customStyle="1">
    <w:name w:val="zGBody 2 Char"/>
    <w:basedOn w:val="zGNormalChar"/>
    <w:link w:val="zGBody2"/>
    <w:uiPriority w:val="2"/>
    <w:rsid w:val="00262DF1"/>
    <w:rPr>
      <w:rFonts w:ascii="Arial Bold" w:hAnsi="Arial Bold" w:cs="Arial" w:eastAsiaTheme="minorEastAsia"/>
      <w:b/>
      <w:kern w:val="14"/>
      <w:sz w:val="20"/>
      <w:szCs w:val="20"/>
      <w14:ligatures w14:val="none"/>
    </w:rPr>
  </w:style>
  <w:style w:type="character" w:styleId="zGTC05Char" w:customStyle="1">
    <w:name w:val="zGTC05 Char"/>
    <w:basedOn w:val="zGNormalChar"/>
    <w:link w:val="zGTC05"/>
    <w:rsid w:val="00262DF1"/>
    <w:rPr>
      <w:rFonts w:ascii="Arial" w:hAnsi="Arial" w:eastAsia="Times New Roman" w:cs="Times New Roman"/>
      <w:kern w:val="14"/>
      <w:sz w:val="20"/>
      <w:szCs w:val="24"/>
      <w14:ligatures w14:val="none"/>
    </w:rPr>
  </w:style>
  <w:style w:type="paragraph" w:styleId="zG03" w:customStyle="1">
    <w:name w:val="zG03"/>
    <w:basedOn w:val="Normal"/>
    <w:uiPriority w:val="24"/>
    <w:rsid w:val="00262DF1"/>
    <w:pPr>
      <w:widowControl w:val="0"/>
      <w:numPr>
        <w:ilvl w:val="2"/>
        <w:numId w:val="25"/>
      </w:numPr>
      <w:tabs>
        <w:tab w:val="left" w:pos="576"/>
      </w:tabs>
      <w:autoSpaceDE w:val="0"/>
      <w:autoSpaceDN w:val="0"/>
      <w:adjustRightInd w:val="0"/>
      <w:spacing w:before="120" w:after="0" w:line="240" w:lineRule="auto"/>
      <w:jc w:val="both"/>
      <w:outlineLvl w:val="2"/>
    </w:pPr>
    <w:rPr>
      <w:rFonts w:ascii="Arial" w:hAnsi="Arial" w:cs="Arial" w:eastAsiaTheme="minorEastAsia"/>
      <w:spacing w:val="-6"/>
      <w:kern w:val="14"/>
      <w:sz w:val="20"/>
      <w:szCs w:val="20"/>
      <w14:ligatures w14:val="none"/>
    </w:rPr>
  </w:style>
  <w:style w:type="paragraph" w:styleId="zGBody3" w:customStyle="1">
    <w:name w:val="zGBody 3"/>
    <w:basedOn w:val="zGNormal"/>
    <w:link w:val="zGBody3Char"/>
    <w:uiPriority w:val="2"/>
    <w:qFormat/>
    <w:rsid w:val="00262DF1"/>
    <w:pPr>
      <w:numPr>
        <w:ilvl w:val="2"/>
        <w:numId w:val="26"/>
      </w:numPr>
      <w:spacing w:before="120" w:after="240"/>
    </w:pPr>
  </w:style>
  <w:style w:type="paragraph" w:styleId="zGListi" w:customStyle="1">
    <w:name w:val="zGList(i)"/>
    <w:uiPriority w:val="6"/>
    <w:qFormat/>
    <w:rsid w:val="00262DF1"/>
    <w:pPr>
      <w:widowControl w:val="0"/>
      <w:numPr>
        <w:numId w:val="27"/>
      </w:numPr>
      <w:autoSpaceDE w:val="0"/>
      <w:autoSpaceDN w:val="0"/>
      <w:adjustRightInd w:val="0"/>
      <w:spacing w:before="120" w:after="0" w:line="240" w:lineRule="auto"/>
      <w:jc w:val="both"/>
    </w:pPr>
    <w:rPr>
      <w:rFonts w:ascii="Arial" w:hAnsi="Arial" w:cs="Arial" w:eastAsiaTheme="minorEastAsia"/>
      <w:spacing w:val="-6"/>
      <w:kern w:val="14"/>
      <w:sz w:val="20"/>
      <w:szCs w:val="20"/>
      <w14:ligatures w14:val="none"/>
    </w:rPr>
  </w:style>
  <w:style w:type="paragraph" w:styleId="zGTC04" w:customStyle="1">
    <w:name w:val="zGTC04"/>
    <w:basedOn w:val="zGNormal"/>
    <w:link w:val="zGTC04Char"/>
    <w:uiPriority w:val="1"/>
    <w:qFormat/>
    <w:rsid w:val="00262DF1"/>
    <w:pPr>
      <w:numPr>
        <w:ilvl w:val="3"/>
        <w:numId w:val="32"/>
      </w:numPr>
      <w:autoSpaceDE/>
      <w:autoSpaceDN/>
      <w:adjustRightInd/>
      <w:spacing w:after="120"/>
    </w:pPr>
    <w:rPr>
      <w:rFonts w:eastAsia="Times New Roman" w:cs="Times New Roman"/>
      <w:szCs w:val="24"/>
    </w:rPr>
  </w:style>
  <w:style w:type="paragraph" w:styleId="zGTitle12" w:customStyle="1">
    <w:name w:val="zGTitle12"/>
    <w:uiPriority w:val="4"/>
    <w:rsid w:val="00262DF1"/>
    <w:pPr>
      <w:spacing w:after="120" w:line="240" w:lineRule="auto"/>
      <w:jc w:val="center"/>
    </w:pPr>
    <w:rPr>
      <w:rFonts w:ascii="Arial" w:hAnsi="Arial" w:eastAsia="Times New Roman" w:cs="Times New Roman"/>
      <w:b/>
      <w:spacing w:val="-6"/>
      <w:kern w:val="14"/>
      <w:sz w:val="24"/>
      <w:szCs w:val="24"/>
      <w14:ligatures w14:val="none"/>
    </w:rPr>
  </w:style>
  <w:style w:type="paragraph" w:styleId="zG04" w:customStyle="1">
    <w:name w:val="zG04"/>
    <w:basedOn w:val="Normal"/>
    <w:uiPriority w:val="24"/>
    <w:rsid w:val="00262DF1"/>
    <w:pPr>
      <w:widowControl w:val="0"/>
      <w:numPr>
        <w:ilvl w:val="3"/>
        <w:numId w:val="25"/>
      </w:numPr>
      <w:tabs>
        <w:tab w:val="left" w:pos="1008"/>
        <w:tab w:val="left" w:pos="1080"/>
      </w:tabs>
      <w:autoSpaceDE w:val="0"/>
      <w:autoSpaceDN w:val="0"/>
      <w:adjustRightInd w:val="0"/>
      <w:spacing w:before="60" w:after="0" w:line="240" w:lineRule="auto"/>
      <w:jc w:val="both"/>
      <w:outlineLvl w:val="3"/>
    </w:pPr>
    <w:rPr>
      <w:rFonts w:ascii="Arial" w:hAnsi="Arial" w:cs="Arial" w:eastAsiaTheme="minorEastAsia"/>
      <w:spacing w:val="-6"/>
      <w:kern w:val="14"/>
      <w:sz w:val="20"/>
      <w:szCs w:val="20"/>
      <w14:ligatures w14:val="none"/>
    </w:rPr>
  </w:style>
  <w:style w:type="character" w:styleId="FootnoteReference">
    <w:name w:val="footnote reference"/>
    <w:aliases w:val="Style 18"/>
    <w:basedOn w:val="DefaultParagraphFont"/>
    <w:uiPriority w:val="99"/>
    <w:unhideWhenUsed/>
    <w:qFormat/>
    <w:rsid w:val="00262DF1"/>
    <w:rPr>
      <w:vertAlign w:val="superscript"/>
    </w:rPr>
  </w:style>
  <w:style w:type="paragraph" w:styleId="zGBody4" w:customStyle="1">
    <w:name w:val="zGBody 4"/>
    <w:basedOn w:val="Normal"/>
    <w:link w:val="zGBody4Char"/>
    <w:uiPriority w:val="2"/>
    <w:rsid w:val="00262DF1"/>
    <w:pPr>
      <w:numPr>
        <w:ilvl w:val="3"/>
        <w:numId w:val="26"/>
      </w:numPr>
      <w:spacing w:before="120" w:after="120" w:line="240" w:lineRule="auto"/>
    </w:pPr>
    <w:rPr>
      <w:rFonts w:ascii="Arial" w:hAnsi="Arial" w:cs="Times New Roman"/>
      <w:kern w:val="0"/>
      <w:sz w:val="20"/>
      <w:szCs w:val="20"/>
      <w14:ligatures w14:val="none"/>
    </w:rPr>
  </w:style>
  <w:style w:type="paragraph" w:styleId="ListBullet5" w:customStyle="1">
    <w:name w:val="List Bullet5"/>
    <w:basedOn w:val="ListBullet2"/>
    <w:uiPriority w:val="94"/>
    <w:semiHidden/>
    <w:rsid w:val="00262DF1"/>
    <w:pPr>
      <w:tabs>
        <w:tab w:val="num" w:pos="360"/>
      </w:tabs>
      <w:spacing w:before="120" w:after="240" w:line="240" w:lineRule="auto"/>
      <w:ind w:left="360"/>
      <w:contextualSpacing w:val="0"/>
      <w:jc w:val="both"/>
    </w:pPr>
    <w:rPr>
      <w:rFonts w:ascii="Arial" w:hAnsi="Arial" w:cs="Times New Roman"/>
      <w:kern w:val="0"/>
      <w:sz w:val="20"/>
      <w:szCs w:val="20"/>
      <w14:ligatures w14:val="none"/>
    </w:rPr>
  </w:style>
  <w:style w:type="paragraph" w:styleId="zGBorder" w:customStyle="1">
    <w:name w:val="zGBorder"/>
    <w:uiPriority w:val="4"/>
    <w:rsid w:val="00262DF1"/>
    <w:pPr>
      <w:widowControl w:val="0"/>
      <w:pBdr>
        <w:top w:val="single" w:color="auto" w:sz="18" w:space="5"/>
        <w:bottom w:val="single" w:color="auto" w:sz="18" w:space="5"/>
      </w:pBdr>
      <w:tabs>
        <w:tab w:val="right" w:pos="9864"/>
      </w:tabs>
      <w:autoSpaceDE w:val="0"/>
      <w:autoSpaceDN w:val="0"/>
      <w:adjustRightInd w:val="0"/>
      <w:spacing w:before="120" w:after="120" w:line="240" w:lineRule="auto"/>
    </w:pPr>
    <w:rPr>
      <w:rFonts w:ascii="Arial" w:hAnsi="Arial" w:cs="Arial" w:eastAsiaTheme="minorEastAsia"/>
      <w:spacing w:val="-6"/>
      <w:kern w:val="14"/>
      <w:sz w:val="20"/>
      <w:szCs w:val="24"/>
      <w14:ligatures w14:val="none"/>
    </w:rPr>
  </w:style>
  <w:style w:type="paragraph" w:styleId="zGTableHeading2" w:customStyle="1">
    <w:name w:val="zGTableHeading2"/>
    <w:uiPriority w:val="7"/>
    <w:qFormat/>
    <w:rsid w:val="00262DF1"/>
    <w:pPr>
      <w:keepNext/>
      <w:widowControl w:val="0"/>
      <w:autoSpaceDE w:val="0"/>
      <w:autoSpaceDN w:val="0"/>
      <w:adjustRightInd w:val="0"/>
      <w:spacing w:after="0" w:line="240" w:lineRule="auto"/>
      <w:jc w:val="center"/>
      <w:outlineLvl w:val="0"/>
    </w:pPr>
    <w:rPr>
      <w:rFonts w:ascii="Arial" w:hAnsi="Arial" w:cs="Arial" w:eastAsiaTheme="minorEastAsia"/>
      <w:b/>
      <w:spacing w:val="-6"/>
      <w:kern w:val="14"/>
      <w:sz w:val="18"/>
      <w:szCs w:val="20"/>
      <w14:ligatures w14:val="none"/>
    </w:rPr>
  </w:style>
  <w:style w:type="paragraph" w:styleId="zGTC03" w:customStyle="1">
    <w:name w:val="zGTC03"/>
    <w:basedOn w:val="zGNormal"/>
    <w:link w:val="zGTC03Char"/>
    <w:uiPriority w:val="1"/>
    <w:qFormat/>
    <w:rsid w:val="00262DF1"/>
    <w:pPr>
      <w:numPr>
        <w:ilvl w:val="2"/>
        <w:numId w:val="32"/>
      </w:numPr>
      <w:autoSpaceDE/>
      <w:autoSpaceDN/>
      <w:adjustRightInd/>
      <w:spacing w:after="120"/>
    </w:pPr>
    <w:rPr>
      <w:rFonts w:eastAsia="Times New Roman" w:cs="Times New Roman"/>
      <w:szCs w:val="24"/>
    </w:rPr>
  </w:style>
  <w:style w:type="paragraph" w:styleId="zGBody5" w:customStyle="1">
    <w:name w:val="zGBody 5"/>
    <w:basedOn w:val="Normal"/>
    <w:link w:val="zGBody5Char"/>
    <w:uiPriority w:val="2"/>
    <w:rsid w:val="00262DF1"/>
    <w:pPr>
      <w:numPr>
        <w:ilvl w:val="4"/>
        <w:numId w:val="26"/>
      </w:numPr>
      <w:spacing w:after="0" w:line="240" w:lineRule="auto"/>
    </w:pPr>
    <w:rPr>
      <w:rFonts w:ascii="Arial" w:hAnsi="Arial" w:cs="Times New Roman"/>
      <w:kern w:val="0"/>
      <w:sz w:val="20"/>
      <w:szCs w:val="20"/>
      <w14:ligatures w14:val="none"/>
    </w:rPr>
  </w:style>
  <w:style w:type="paragraph" w:styleId="zG05" w:customStyle="1">
    <w:name w:val="zG05"/>
    <w:basedOn w:val="Normal"/>
    <w:uiPriority w:val="24"/>
    <w:rsid w:val="00262DF1"/>
    <w:pPr>
      <w:widowControl w:val="0"/>
      <w:numPr>
        <w:ilvl w:val="4"/>
        <w:numId w:val="25"/>
      </w:numPr>
      <w:tabs>
        <w:tab w:val="left" w:pos="1368"/>
      </w:tabs>
      <w:autoSpaceDE w:val="0"/>
      <w:autoSpaceDN w:val="0"/>
      <w:adjustRightInd w:val="0"/>
      <w:spacing w:before="60" w:after="0" w:line="240" w:lineRule="auto"/>
      <w:jc w:val="both"/>
      <w:outlineLvl w:val="4"/>
    </w:pPr>
    <w:rPr>
      <w:rFonts w:ascii="Arial" w:hAnsi="Arial" w:cs="Arial" w:eastAsiaTheme="minorEastAsia"/>
      <w:spacing w:val="-6"/>
      <w:kern w:val="14"/>
      <w:sz w:val="20"/>
      <w:szCs w:val="20"/>
      <w14:ligatures w14:val="none"/>
    </w:rPr>
  </w:style>
  <w:style w:type="paragraph" w:styleId="zGFooter" w:customStyle="1">
    <w:name w:val="zGFooter"/>
    <w:next w:val="Normal"/>
    <w:uiPriority w:val="5"/>
    <w:qFormat/>
    <w:rsid w:val="00262DF1"/>
    <w:pPr>
      <w:widowControl w:val="0"/>
      <w:tabs>
        <w:tab w:val="center" w:pos="5040"/>
        <w:tab w:val="right" w:pos="8630"/>
      </w:tabs>
      <w:autoSpaceDE w:val="0"/>
      <w:autoSpaceDN w:val="0"/>
      <w:adjustRightInd w:val="0"/>
      <w:spacing w:after="0" w:line="240" w:lineRule="auto"/>
    </w:pPr>
    <w:rPr>
      <w:rFonts w:ascii="Arial" w:hAnsi="Arial" w:cs="Arial" w:eastAsiaTheme="minorEastAsia"/>
      <w:spacing w:val="-6"/>
      <w:kern w:val="14"/>
      <w:sz w:val="16"/>
      <w:szCs w:val="20"/>
      <w14:ligatures w14:val="none"/>
    </w:rPr>
  </w:style>
  <w:style w:type="paragraph" w:styleId="TOC8">
    <w:name w:val="toc 8"/>
    <w:basedOn w:val="Normal"/>
    <w:next w:val="Normal"/>
    <w:autoRedefine/>
    <w:uiPriority w:val="39"/>
    <w:unhideWhenUsed/>
    <w:rsid w:val="00262DF1"/>
    <w:pPr>
      <w:spacing w:after="100"/>
      <w:ind w:left="1540"/>
    </w:pPr>
    <w:rPr>
      <w:rFonts w:eastAsiaTheme="minorEastAsia"/>
    </w:rPr>
  </w:style>
  <w:style w:type="paragraph" w:styleId="zGNormal6" w:customStyle="1">
    <w:name w:val="zGNormal+6"/>
    <w:qFormat/>
    <w:rsid w:val="00262DF1"/>
    <w:pPr>
      <w:autoSpaceDE w:val="0"/>
      <w:autoSpaceDN w:val="0"/>
      <w:adjustRightInd w:val="0"/>
      <w:spacing w:before="120" w:after="120" w:line="240" w:lineRule="auto"/>
      <w:jc w:val="both"/>
    </w:pPr>
    <w:rPr>
      <w:rFonts w:ascii="Arial" w:hAnsi="Arial" w:cs="Arial" w:eastAsiaTheme="minorEastAsia"/>
      <w:kern w:val="14"/>
      <w:sz w:val="20"/>
      <w:szCs w:val="20"/>
      <w14:ligatures w14:val="none"/>
    </w:rPr>
  </w:style>
  <w:style w:type="paragraph" w:styleId="zGTableHeading3" w:customStyle="1">
    <w:name w:val="zGTableHeading3"/>
    <w:uiPriority w:val="7"/>
    <w:qFormat/>
    <w:rsid w:val="00262DF1"/>
    <w:pPr>
      <w:widowControl w:val="0"/>
      <w:autoSpaceDE w:val="0"/>
      <w:autoSpaceDN w:val="0"/>
      <w:adjustRightInd w:val="0"/>
      <w:spacing w:after="0" w:line="240" w:lineRule="auto"/>
      <w:jc w:val="center"/>
      <w:outlineLvl w:val="0"/>
    </w:pPr>
    <w:rPr>
      <w:rFonts w:ascii="Arial" w:hAnsi="Arial" w:cs="Arial" w:eastAsiaTheme="minorEastAsia"/>
      <w:b/>
      <w:smallCaps/>
      <w:color w:val="000000"/>
      <w:spacing w:val="-6"/>
      <w:kern w:val="14"/>
      <w:sz w:val="18"/>
      <w:szCs w:val="20"/>
      <w14:ligatures w14:val="none"/>
    </w:rPr>
  </w:style>
  <w:style w:type="paragraph" w:styleId="zGTC02" w:customStyle="1">
    <w:name w:val="zGTC02"/>
    <w:basedOn w:val="zGNormal"/>
    <w:link w:val="zGTC02Char"/>
    <w:uiPriority w:val="1"/>
    <w:qFormat/>
    <w:rsid w:val="00262DF1"/>
    <w:pPr>
      <w:numPr>
        <w:ilvl w:val="1"/>
        <w:numId w:val="32"/>
      </w:numPr>
      <w:tabs>
        <w:tab w:val="left" w:pos="576"/>
      </w:tabs>
      <w:autoSpaceDE/>
      <w:autoSpaceDN/>
      <w:adjustRightInd/>
      <w:spacing w:after="120"/>
    </w:pPr>
    <w:rPr>
      <w:rFonts w:ascii="Arial Bold" w:hAnsi="Arial Bold" w:eastAsia="Times New Roman" w:cs="Times New Roman"/>
      <w:b/>
      <w:szCs w:val="24"/>
    </w:rPr>
  </w:style>
  <w:style w:type="paragraph" w:styleId="zGZ1" w:customStyle="1">
    <w:name w:val="zGZ1"/>
    <w:uiPriority w:val="6"/>
    <w:rsid w:val="00262DF1"/>
    <w:pPr>
      <w:numPr>
        <w:numId w:val="33"/>
      </w:numPr>
      <w:tabs>
        <w:tab w:val="left" w:pos="576"/>
      </w:tabs>
      <w:spacing w:before="120" w:after="120" w:line="240" w:lineRule="auto"/>
      <w:jc w:val="both"/>
    </w:pPr>
    <w:rPr>
      <w:rFonts w:ascii="Arial" w:hAnsi="Arial" w:eastAsia="Times New Roman" w:cs="Times New Roman"/>
      <w:kern w:val="0"/>
      <w:sz w:val="20"/>
      <w:szCs w:val="24"/>
      <w14:ligatures w14:val="none"/>
    </w:rPr>
  </w:style>
  <w:style w:type="paragraph" w:styleId="zGNormal" w:customStyle="1">
    <w:name w:val="zGNormal"/>
    <w:link w:val="zGNormalChar"/>
    <w:qFormat/>
    <w:rsid w:val="00262DF1"/>
    <w:pPr>
      <w:autoSpaceDE w:val="0"/>
      <w:autoSpaceDN w:val="0"/>
      <w:adjustRightInd w:val="0"/>
      <w:spacing w:after="0" w:line="240" w:lineRule="auto"/>
      <w:jc w:val="both"/>
    </w:pPr>
    <w:rPr>
      <w:rFonts w:ascii="Arial" w:hAnsi="Arial" w:cs="Arial" w:eastAsiaTheme="minorEastAsia"/>
      <w:kern w:val="14"/>
      <w:sz w:val="20"/>
      <w:szCs w:val="20"/>
      <w14:ligatures w14:val="none"/>
    </w:rPr>
  </w:style>
  <w:style w:type="character" w:styleId="zGTitle36CalibriChar" w:customStyle="1">
    <w:name w:val="zGTitle 36 (Calibri) Char"/>
    <w:basedOn w:val="DefaultParagraphFont"/>
    <w:link w:val="zGTitle36Calibri"/>
    <w:uiPriority w:val="4"/>
    <w:rsid w:val="00262DF1"/>
    <w:rPr>
      <w:rFonts w:ascii="Calibri" w:hAnsi="Calibri" w:eastAsia="Times New Roman" w:cstheme="minorHAnsi"/>
      <w:b/>
      <w:kern w:val="14"/>
      <w:sz w:val="72"/>
      <w:szCs w:val="72"/>
      <w14:ligatures w14:val="none"/>
    </w:rPr>
  </w:style>
  <w:style w:type="character" w:styleId="zGNormalChar" w:customStyle="1">
    <w:name w:val="zGNormal Char"/>
    <w:basedOn w:val="DefaultParagraphFont"/>
    <w:link w:val="zGNormal"/>
    <w:rsid w:val="00262DF1"/>
    <w:rPr>
      <w:rFonts w:ascii="Arial" w:hAnsi="Arial" w:cs="Arial" w:eastAsiaTheme="minorEastAsia"/>
      <w:kern w:val="14"/>
      <w:sz w:val="20"/>
      <w:szCs w:val="20"/>
      <w14:ligatures w14:val="none"/>
    </w:rPr>
  </w:style>
  <w:style w:type="paragraph" w:styleId="zGTitleExhibit" w:customStyle="1">
    <w:name w:val="zGTitleExhibit"/>
    <w:next w:val="zGTitle12"/>
    <w:uiPriority w:val="4"/>
    <w:qFormat/>
    <w:rsid w:val="00262DF1"/>
    <w:pPr>
      <w:spacing w:after="120" w:line="240" w:lineRule="auto"/>
      <w:jc w:val="center"/>
      <w:outlineLvl w:val="0"/>
    </w:pPr>
    <w:rPr>
      <w:rFonts w:ascii="Arial" w:hAnsi="Arial" w:eastAsia="Times New Roman" w:cs="Times New Roman"/>
      <w:b/>
      <w:bCs/>
      <w:caps/>
      <w:kern w:val="32"/>
      <w:szCs w:val="32"/>
      <w:u w:val="single"/>
      <w14:ligatures w14:val="none"/>
    </w:rPr>
  </w:style>
  <w:style w:type="character" w:styleId="zGBody3Char" w:customStyle="1">
    <w:name w:val="zGBody 3 Char"/>
    <w:basedOn w:val="zGNormalChar"/>
    <w:link w:val="zGBody3"/>
    <w:uiPriority w:val="2"/>
    <w:rsid w:val="00262DF1"/>
    <w:rPr>
      <w:rFonts w:ascii="Arial" w:hAnsi="Arial" w:cs="Arial" w:eastAsiaTheme="minorEastAsia"/>
      <w:kern w:val="14"/>
      <w:sz w:val="20"/>
      <w:szCs w:val="20"/>
      <w14:ligatures w14:val="none"/>
    </w:rPr>
  </w:style>
  <w:style w:type="character" w:styleId="zGTC04Char" w:customStyle="1">
    <w:name w:val="zGTC04 Char"/>
    <w:basedOn w:val="zGNormalChar"/>
    <w:link w:val="zGTC04"/>
    <w:uiPriority w:val="1"/>
    <w:rsid w:val="00262DF1"/>
    <w:rPr>
      <w:rFonts w:ascii="Arial" w:hAnsi="Arial" w:eastAsia="Times New Roman" w:cs="Times New Roman"/>
      <w:kern w:val="14"/>
      <w:sz w:val="20"/>
      <w:szCs w:val="24"/>
      <w14:ligatures w14:val="none"/>
    </w:rPr>
  </w:style>
  <w:style w:type="character" w:styleId="zGBody4Char" w:customStyle="1">
    <w:name w:val="zGBody 4 Char"/>
    <w:basedOn w:val="DefaultParagraphFont"/>
    <w:link w:val="zGBody4"/>
    <w:uiPriority w:val="2"/>
    <w:rsid w:val="00262DF1"/>
    <w:rPr>
      <w:rFonts w:ascii="Arial" w:hAnsi="Arial" w:cs="Times New Roman"/>
      <w:kern w:val="0"/>
      <w:sz w:val="20"/>
      <w:szCs w:val="20"/>
      <w14:ligatures w14:val="none"/>
    </w:rPr>
  </w:style>
  <w:style w:type="character" w:styleId="zGTC03Char" w:customStyle="1">
    <w:name w:val="zGTC03 Char"/>
    <w:basedOn w:val="zGNormalChar"/>
    <w:link w:val="zGTC03"/>
    <w:uiPriority w:val="1"/>
    <w:rsid w:val="00262DF1"/>
    <w:rPr>
      <w:rFonts w:ascii="Arial" w:hAnsi="Arial" w:eastAsia="Times New Roman" w:cs="Times New Roman"/>
      <w:kern w:val="14"/>
      <w:sz w:val="20"/>
      <w:szCs w:val="24"/>
      <w14:ligatures w14:val="none"/>
    </w:rPr>
  </w:style>
  <w:style w:type="character" w:styleId="CommentReference">
    <w:name w:val="annotation reference"/>
    <w:basedOn w:val="DefaultParagraphFont"/>
    <w:uiPriority w:val="99"/>
    <w:semiHidden/>
    <w:rsid w:val="00262DF1"/>
    <w:rPr>
      <w:sz w:val="16"/>
      <w:szCs w:val="16"/>
    </w:rPr>
  </w:style>
  <w:style w:type="character" w:styleId="zGBody5Char" w:customStyle="1">
    <w:name w:val="zGBody 5 Char"/>
    <w:basedOn w:val="DefaultParagraphFont"/>
    <w:link w:val="zGBody5"/>
    <w:uiPriority w:val="2"/>
    <w:rsid w:val="00262DF1"/>
    <w:rPr>
      <w:rFonts w:ascii="Arial" w:hAnsi="Arial" w:cs="Times New Roman"/>
      <w:kern w:val="0"/>
      <w:sz w:val="20"/>
      <w:szCs w:val="20"/>
      <w14:ligatures w14:val="none"/>
    </w:rPr>
  </w:style>
  <w:style w:type="character" w:styleId="zGTC02Char" w:customStyle="1">
    <w:name w:val="zGTC02 Char"/>
    <w:basedOn w:val="DefaultParagraphFont"/>
    <w:link w:val="zGTC02"/>
    <w:uiPriority w:val="1"/>
    <w:rsid w:val="00262DF1"/>
    <w:rPr>
      <w:rFonts w:ascii="Arial Bold" w:hAnsi="Arial Bold" w:eastAsia="Times New Roman" w:cs="Times New Roman"/>
      <w:b/>
      <w:kern w:val="14"/>
      <w:sz w:val="20"/>
      <w:szCs w:val="24"/>
      <w14:ligatures w14:val="none"/>
    </w:rPr>
  </w:style>
  <w:style w:type="paragraph" w:styleId="zGBody6" w:customStyle="1">
    <w:name w:val="zGBody 6"/>
    <w:basedOn w:val="Normal"/>
    <w:link w:val="zGBody6Char"/>
    <w:uiPriority w:val="2"/>
    <w:rsid w:val="00262DF1"/>
    <w:pPr>
      <w:numPr>
        <w:ilvl w:val="5"/>
        <w:numId w:val="26"/>
      </w:numPr>
      <w:spacing w:after="0" w:line="240" w:lineRule="auto"/>
    </w:pPr>
    <w:rPr>
      <w:rFonts w:ascii="Arial" w:hAnsi="Arial" w:cs="Times New Roman"/>
      <w:kern w:val="0"/>
      <w:sz w:val="20"/>
      <w:szCs w:val="20"/>
      <w14:ligatures w14:val="none"/>
    </w:rPr>
  </w:style>
  <w:style w:type="paragraph" w:styleId="zGListBullet2" w:customStyle="1">
    <w:name w:val="zGListBullet2"/>
    <w:uiPriority w:val="6"/>
    <w:qFormat/>
    <w:rsid w:val="00262DF1"/>
    <w:pPr>
      <w:widowControl w:val="0"/>
      <w:numPr>
        <w:numId w:val="29"/>
      </w:numPr>
      <w:autoSpaceDE w:val="0"/>
      <w:autoSpaceDN w:val="0"/>
      <w:adjustRightInd w:val="0"/>
      <w:spacing w:before="60" w:after="0" w:line="240" w:lineRule="auto"/>
    </w:pPr>
    <w:rPr>
      <w:rFonts w:ascii="Arial" w:hAnsi="Arial" w:cs="Arial" w:eastAsiaTheme="minorEastAsia"/>
      <w:spacing w:val="-6"/>
      <w:kern w:val="14"/>
      <w:sz w:val="20"/>
      <w:szCs w:val="20"/>
      <w14:ligatures w14:val="none"/>
    </w:rPr>
  </w:style>
  <w:style w:type="paragraph" w:styleId="zGTC01" w:customStyle="1">
    <w:name w:val="zGTC01"/>
    <w:basedOn w:val="zGNormal"/>
    <w:next w:val="Normal"/>
    <w:link w:val="zGTC01Char"/>
    <w:uiPriority w:val="1"/>
    <w:qFormat/>
    <w:rsid w:val="00262DF1"/>
    <w:pPr>
      <w:keepNext/>
      <w:numPr>
        <w:numId w:val="32"/>
      </w:numPr>
      <w:autoSpaceDE/>
      <w:autoSpaceDN/>
      <w:adjustRightInd/>
      <w:spacing w:before="360" w:after="120"/>
      <w:outlineLvl w:val="0"/>
    </w:pPr>
    <w:rPr>
      <w:rFonts w:ascii="Arial Bold" w:hAnsi="Arial Bold" w:eastAsia="Times New Roman"/>
      <w:b/>
      <w:caps/>
      <w:szCs w:val="24"/>
    </w:rPr>
  </w:style>
  <w:style w:type="character" w:styleId="zGBody6Char" w:customStyle="1">
    <w:name w:val="zGBody 6 Char"/>
    <w:basedOn w:val="DefaultParagraphFont"/>
    <w:link w:val="zGBody6"/>
    <w:uiPriority w:val="2"/>
    <w:rsid w:val="00262DF1"/>
    <w:rPr>
      <w:rFonts w:ascii="Arial" w:hAnsi="Arial" w:cs="Times New Roman"/>
      <w:kern w:val="0"/>
      <w:sz w:val="20"/>
      <w:szCs w:val="20"/>
      <w14:ligatures w14:val="none"/>
    </w:rPr>
  </w:style>
  <w:style w:type="paragraph" w:styleId="zGNormalIndentI" w:customStyle="1">
    <w:name w:val="zGNormalIndentI"/>
    <w:uiPriority w:val="3"/>
    <w:qFormat/>
    <w:rsid w:val="00262DF1"/>
    <w:pPr>
      <w:widowControl w:val="0"/>
      <w:tabs>
        <w:tab w:val="left" w:pos="792"/>
      </w:tabs>
      <w:autoSpaceDE w:val="0"/>
      <w:autoSpaceDN w:val="0"/>
      <w:adjustRightInd w:val="0"/>
      <w:spacing w:before="60" w:after="0" w:line="240" w:lineRule="auto"/>
      <w:ind w:left="792" w:right="432"/>
      <w:jc w:val="both"/>
    </w:pPr>
    <w:rPr>
      <w:rFonts w:ascii="Arial" w:hAnsi="Arial" w:cs="Arial" w:eastAsiaTheme="minorEastAsia"/>
      <w:i/>
      <w:spacing w:val="-6"/>
      <w:kern w:val="14"/>
      <w:sz w:val="20"/>
      <w:szCs w:val="20"/>
      <w14:ligatures w14:val="none"/>
    </w:rPr>
  </w:style>
  <w:style w:type="character" w:styleId="zGTC01Char" w:customStyle="1">
    <w:name w:val="zGTC01 Char"/>
    <w:basedOn w:val="DefaultParagraphFont"/>
    <w:link w:val="zGTC01"/>
    <w:uiPriority w:val="1"/>
    <w:rsid w:val="00262DF1"/>
    <w:rPr>
      <w:rFonts w:ascii="Arial Bold" w:hAnsi="Arial Bold" w:eastAsia="Times New Roman" w:cs="Arial"/>
      <w:b/>
      <w:caps/>
      <w:kern w:val="14"/>
      <w:sz w:val="20"/>
      <w:szCs w:val="24"/>
      <w14:ligatures w14:val="none"/>
    </w:rPr>
  </w:style>
  <w:style w:type="paragraph" w:styleId="zGHeaderDraft" w:customStyle="1">
    <w:name w:val="zGHeaderDraft"/>
    <w:next w:val="Normal"/>
    <w:uiPriority w:val="99"/>
    <w:semiHidden/>
    <w:qFormat/>
    <w:rsid w:val="00262DF1"/>
    <w:pPr>
      <w:widowControl w:val="0"/>
      <w:tabs>
        <w:tab w:val="right" w:pos="9936"/>
      </w:tabs>
      <w:autoSpaceDE w:val="0"/>
      <w:autoSpaceDN w:val="0"/>
      <w:adjustRightInd w:val="0"/>
      <w:spacing w:after="0" w:line="240" w:lineRule="auto"/>
      <w:jc w:val="right"/>
    </w:pPr>
    <w:rPr>
      <w:rFonts w:ascii="Arial Bold" w:hAnsi="Arial Bold" w:cs="Arial" w:eastAsiaTheme="minorEastAsia"/>
      <w:b/>
      <w:i/>
      <w:color w:val="FF0000"/>
      <w:spacing w:val="-6"/>
      <w:kern w:val="14"/>
      <w:sz w:val="18"/>
      <w:szCs w:val="20"/>
      <w14:ligatures w14:val="none"/>
    </w:rPr>
  </w:style>
  <w:style w:type="paragraph" w:styleId="zGHiddenTitle" w:customStyle="1">
    <w:name w:val="zGHiddenTitle"/>
    <w:uiPriority w:val="9"/>
    <w:semiHidden/>
    <w:rsid w:val="00262DF1"/>
    <w:pPr>
      <w:keepNext/>
      <w:widowControl w:val="0"/>
      <w:autoSpaceDE w:val="0"/>
      <w:autoSpaceDN w:val="0"/>
      <w:adjustRightInd w:val="0"/>
      <w:spacing w:after="0" w:line="240" w:lineRule="auto"/>
    </w:pPr>
    <w:rPr>
      <w:rFonts w:ascii="Arial" w:hAnsi="Arial" w:cs="Arial" w:eastAsiaTheme="minorEastAsia"/>
      <w:color w:val="FFFFFF"/>
      <w:spacing w:val="-6"/>
      <w:kern w:val="14"/>
      <w:sz w:val="2"/>
      <w:szCs w:val="20"/>
      <w14:ligatures w14:val="none"/>
    </w:rPr>
  </w:style>
  <w:style w:type="paragraph" w:styleId="zGListBullet" w:customStyle="1">
    <w:name w:val="zGListBullet"/>
    <w:uiPriority w:val="6"/>
    <w:qFormat/>
    <w:rsid w:val="00262DF1"/>
    <w:pPr>
      <w:widowControl w:val="0"/>
      <w:numPr>
        <w:numId w:val="28"/>
      </w:numPr>
      <w:autoSpaceDE w:val="0"/>
      <w:autoSpaceDN w:val="0"/>
      <w:adjustRightInd w:val="0"/>
      <w:spacing w:before="60" w:after="0" w:line="240" w:lineRule="auto"/>
      <w:jc w:val="both"/>
    </w:pPr>
    <w:rPr>
      <w:rFonts w:ascii="Arial" w:hAnsi="Arial" w:cs="Arial" w:eastAsiaTheme="minorEastAsia"/>
      <w:spacing w:val="-6"/>
      <w:kern w:val="14"/>
      <w:sz w:val="20"/>
      <w:szCs w:val="20"/>
      <w14:ligatures w14:val="none"/>
    </w:rPr>
  </w:style>
  <w:style w:type="paragraph" w:styleId="zGListNum" w:customStyle="1">
    <w:name w:val="zGListNum"/>
    <w:uiPriority w:val="6"/>
    <w:rsid w:val="00262DF1"/>
    <w:pPr>
      <w:widowControl w:val="0"/>
      <w:numPr>
        <w:numId w:val="30"/>
      </w:numPr>
      <w:tabs>
        <w:tab w:val="left" w:pos="360"/>
      </w:tabs>
      <w:autoSpaceDE w:val="0"/>
      <w:autoSpaceDN w:val="0"/>
      <w:adjustRightInd w:val="0"/>
      <w:spacing w:before="120" w:after="0" w:line="240" w:lineRule="auto"/>
      <w:jc w:val="both"/>
    </w:pPr>
    <w:rPr>
      <w:rFonts w:ascii="Arial" w:hAnsi="Arial" w:cs="Arial" w:eastAsiaTheme="minorEastAsia"/>
      <w:spacing w:val="-6"/>
      <w:kern w:val="14"/>
      <w:sz w:val="20"/>
      <w:szCs w:val="20"/>
      <w14:ligatures w14:val="none"/>
    </w:rPr>
  </w:style>
  <w:style w:type="character" w:styleId="Heading1Char" w:customStyle="1">
    <w:name w:val="Heading 1 Char"/>
    <w:basedOn w:val="DefaultParagraphFont"/>
    <w:link w:val="Heading1"/>
    <w:uiPriority w:val="9"/>
    <w:rsid w:val="00262DF1"/>
    <w:rPr>
      <w:rFonts w:asciiTheme="majorHAnsi" w:hAnsiTheme="majorHAnsi" w:eastAsiaTheme="majorEastAsia" w:cstheme="majorBidi"/>
      <w:color w:val="2F5496" w:themeColor="accent1" w:themeShade="BF"/>
      <w:sz w:val="32"/>
      <w:szCs w:val="32"/>
    </w:rPr>
  </w:style>
  <w:style w:type="paragraph" w:styleId="zGTableBullet" w:customStyle="1">
    <w:name w:val="zGTableBullet"/>
    <w:uiPriority w:val="4"/>
    <w:qFormat/>
    <w:rsid w:val="00262DF1"/>
    <w:pPr>
      <w:widowControl w:val="0"/>
      <w:numPr>
        <w:numId w:val="31"/>
      </w:numPr>
      <w:autoSpaceDE w:val="0"/>
      <w:autoSpaceDN w:val="0"/>
      <w:adjustRightInd w:val="0"/>
      <w:spacing w:after="0" w:line="240" w:lineRule="auto"/>
    </w:pPr>
    <w:rPr>
      <w:rFonts w:ascii="Arial" w:hAnsi="Arial" w:cs="Arial" w:eastAsiaTheme="minorEastAsia"/>
      <w:spacing w:val="-6"/>
      <w:kern w:val="14"/>
      <w:sz w:val="18"/>
      <w:szCs w:val="20"/>
      <w14:ligatures w14:val="none"/>
    </w:rPr>
  </w:style>
  <w:style w:type="paragraph" w:styleId="Footer">
    <w:name w:val="footer"/>
    <w:basedOn w:val="Normal"/>
    <w:link w:val="FooterChar"/>
    <w:uiPriority w:val="99"/>
    <w:unhideWhenUsed/>
    <w:rsid w:val="00262DF1"/>
    <w:pPr>
      <w:tabs>
        <w:tab w:val="center" w:pos="4680"/>
        <w:tab w:val="right" w:pos="9360"/>
      </w:tabs>
      <w:spacing w:after="0" w:line="240" w:lineRule="auto"/>
    </w:pPr>
  </w:style>
  <w:style w:type="paragraph" w:styleId="zGTableHeading1" w:customStyle="1">
    <w:name w:val="zGTableHeading1"/>
    <w:uiPriority w:val="7"/>
    <w:rsid w:val="00262DF1"/>
    <w:pPr>
      <w:keepNext/>
      <w:keepLines/>
      <w:widowControl w:val="0"/>
      <w:autoSpaceDE w:val="0"/>
      <w:autoSpaceDN w:val="0"/>
      <w:adjustRightInd w:val="0"/>
      <w:spacing w:after="0" w:line="240" w:lineRule="auto"/>
      <w:jc w:val="center"/>
      <w:outlineLvl w:val="0"/>
    </w:pPr>
    <w:rPr>
      <w:rFonts w:ascii="Arial" w:hAnsi="Arial" w:cs="Arial" w:eastAsiaTheme="minorEastAsia"/>
      <w:b/>
      <w:smallCaps/>
      <w:color w:val="000000"/>
      <w:spacing w:val="-6"/>
      <w:kern w:val="14"/>
      <w:sz w:val="20"/>
      <w:szCs w:val="24"/>
      <w14:ligatures w14:val="none"/>
    </w:rPr>
  </w:style>
  <w:style w:type="paragraph" w:styleId="zGTableSig12" w:customStyle="1">
    <w:name w:val="zGTableSig12"/>
    <w:uiPriority w:val="7"/>
    <w:rsid w:val="00262DF1"/>
    <w:pPr>
      <w:keepNext/>
      <w:keepLines/>
      <w:widowControl w:val="0"/>
      <w:autoSpaceDE w:val="0"/>
      <w:autoSpaceDN w:val="0"/>
      <w:adjustRightInd w:val="0"/>
      <w:spacing w:after="0" w:line="240" w:lineRule="auto"/>
    </w:pPr>
    <w:rPr>
      <w:rFonts w:ascii="Arial" w:hAnsi="Arial" w:cs="Arial" w:eastAsiaTheme="minorEastAsia"/>
      <w:b/>
      <w:spacing w:val="-6"/>
      <w:kern w:val="14"/>
      <w:sz w:val="24"/>
      <w:szCs w:val="20"/>
      <w14:ligatures w14:val="none"/>
    </w:rPr>
  </w:style>
  <w:style w:type="paragraph" w:styleId="zGTableTxt09" w:customStyle="1">
    <w:name w:val="zGTableTxt09"/>
    <w:uiPriority w:val="7"/>
    <w:qFormat/>
    <w:rsid w:val="00262DF1"/>
    <w:pPr>
      <w:widowControl w:val="0"/>
      <w:autoSpaceDE w:val="0"/>
      <w:autoSpaceDN w:val="0"/>
      <w:adjustRightInd w:val="0"/>
      <w:spacing w:after="0" w:line="240" w:lineRule="auto"/>
    </w:pPr>
    <w:rPr>
      <w:rFonts w:ascii="Arial" w:hAnsi="Arial" w:cs="Arial" w:eastAsiaTheme="minorEastAsia"/>
      <w:spacing w:val="-6"/>
      <w:kern w:val="14"/>
      <w:sz w:val="18"/>
      <w:szCs w:val="20"/>
      <w14:ligatures w14:val="none"/>
    </w:rPr>
  </w:style>
  <w:style w:type="paragraph" w:styleId="zGTableTxt10" w:customStyle="1">
    <w:name w:val="zGTableTxt10"/>
    <w:uiPriority w:val="7"/>
    <w:qFormat/>
    <w:rsid w:val="00262DF1"/>
    <w:pPr>
      <w:widowControl w:val="0"/>
      <w:autoSpaceDE w:val="0"/>
      <w:autoSpaceDN w:val="0"/>
      <w:adjustRightInd w:val="0"/>
      <w:spacing w:after="0" w:line="240" w:lineRule="auto"/>
    </w:pPr>
    <w:rPr>
      <w:rFonts w:ascii="Arial" w:hAnsi="Arial" w:cs="Arial" w:eastAsiaTheme="minorEastAsia"/>
      <w:spacing w:val="-6"/>
      <w:kern w:val="14"/>
      <w:sz w:val="20"/>
      <w:szCs w:val="20"/>
      <w14:ligatures w14:val="none"/>
    </w:rPr>
  </w:style>
  <w:style w:type="paragraph" w:styleId="zGTitle11" w:customStyle="1">
    <w:name w:val="zGTitle11"/>
    <w:link w:val="zGTitle11Char"/>
    <w:uiPriority w:val="4"/>
    <w:qFormat/>
    <w:rsid w:val="00262DF1"/>
    <w:pPr>
      <w:spacing w:before="240" w:after="240" w:line="240" w:lineRule="auto"/>
      <w:jc w:val="center"/>
    </w:pPr>
    <w:rPr>
      <w:rFonts w:ascii="Arial" w:hAnsi="Arial" w:eastAsia="Times New Roman" w:cs="Times New Roman"/>
      <w:b/>
      <w:spacing w:val="-6"/>
      <w:kern w:val="14"/>
      <w:szCs w:val="20"/>
      <w14:ligatures w14:val="none"/>
    </w:rPr>
  </w:style>
  <w:style w:type="paragraph" w:styleId="zGTitle14" w:customStyle="1">
    <w:name w:val="zGTitle14"/>
    <w:link w:val="zGTitle14Char"/>
    <w:uiPriority w:val="4"/>
    <w:qFormat/>
    <w:rsid w:val="00262DF1"/>
    <w:pPr>
      <w:spacing w:after="120" w:line="240" w:lineRule="auto"/>
      <w:jc w:val="center"/>
    </w:pPr>
    <w:rPr>
      <w:rFonts w:ascii="Arial" w:hAnsi="Arial" w:eastAsia="Times New Roman" w:cs="Times New Roman"/>
      <w:b/>
      <w:spacing w:val="-6"/>
      <w:kern w:val="14"/>
      <w:sz w:val="28"/>
      <w:szCs w:val="24"/>
      <w14:ligatures w14:val="none"/>
    </w:rPr>
  </w:style>
  <w:style w:type="character" w:styleId="zGTitle14Char" w:customStyle="1">
    <w:name w:val="zGTitle14 Char"/>
    <w:basedOn w:val="DefaultParagraphFont"/>
    <w:link w:val="zGTitle14"/>
    <w:uiPriority w:val="4"/>
    <w:rsid w:val="00262DF1"/>
    <w:rPr>
      <w:rFonts w:ascii="Arial" w:hAnsi="Arial" w:eastAsia="Times New Roman" w:cs="Times New Roman"/>
      <w:b/>
      <w:spacing w:val="-6"/>
      <w:kern w:val="14"/>
      <w:sz w:val="28"/>
      <w:szCs w:val="24"/>
      <w14:ligatures w14:val="none"/>
    </w:rPr>
  </w:style>
  <w:style w:type="paragraph" w:styleId="zGZ2" w:customStyle="1">
    <w:name w:val="zGZ2"/>
    <w:uiPriority w:val="6"/>
    <w:rsid w:val="00262DF1"/>
    <w:pPr>
      <w:numPr>
        <w:ilvl w:val="1"/>
        <w:numId w:val="33"/>
      </w:numPr>
      <w:spacing w:before="120" w:after="120" w:line="240" w:lineRule="auto"/>
      <w:jc w:val="both"/>
    </w:pPr>
    <w:rPr>
      <w:rFonts w:ascii="Arial" w:hAnsi="Arial" w:eastAsia="Times New Roman" w:cs="Times New Roman"/>
      <w:kern w:val="0"/>
      <w:sz w:val="20"/>
      <w:szCs w:val="24"/>
      <w14:ligatures w14:val="none"/>
    </w:rPr>
  </w:style>
  <w:style w:type="paragraph" w:styleId="zGZ3" w:customStyle="1">
    <w:name w:val="zGZ3"/>
    <w:basedOn w:val="Normal"/>
    <w:uiPriority w:val="6"/>
    <w:rsid w:val="00262DF1"/>
    <w:pPr>
      <w:numPr>
        <w:ilvl w:val="2"/>
        <w:numId w:val="33"/>
      </w:numPr>
      <w:spacing w:before="80" w:after="0" w:line="240" w:lineRule="auto"/>
      <w:jc w:val="both"/>
    </w:pPr>
    <w:rPr>
      <w:rFonts w:ascii="Arial" w:hAnsi="Arial" w:eastAsia="Times New Roman" w:cs="Times New Roman"/>
      <w:kern w:val="0"/>
      <w:sz w:val="20"/>
      <w:szCs w:val="24"/>
      <w14:ligatures w14:val="none"/>
    </w:rPr>
  </w:style>
  <w:style w:type="numbering" w:styleId="zGzListStyle1" w:customStyle="1">
    <w:name w:val="zGzListStyle1"/>
    <w:uiPriority w:val="99"/>
    <w:rsid w:val="00262DF1"/>
    <w:pPr>
      <w:numPr>
        <w:numId w:val="2"/>
      </w:numPr>
    </w:pPr>
  </w:style>
  <w:style w:type="numbering" w:styleId="zGzListStyle2" w:customStyle="1">
    <w:name w:val="zGzListStyle2"/>
    <w:uiPriority w:val="99"/>
    <w:rsid w:val="00262DF1"/>
    <w:pPr>
      <w:numPr>
        <w:numId w:val="3"/>
      </w:numPr>
    </w:pPr>
  </w:style>
  <w:style w:type="numbering" w:styleId="zGzListStyle3" w:customStyle="1">
    <w:name w:val="zGzListStyle3"/>
    <w:uiPriority w:val="99"/>
    <w:rsid w:val="00262DF1"/>
    <w:pPr>
      <w:numPr>
        <w:numId w:val="4"/>
      </w:numPr>
    </w:pPr>
  </w:style>
  <w:style w:type="character" w:styleId="zzmpTrailerItem" w:customStyle="1">
    <w:name w:val="zzmpTrailerItem"/>
    <w:basedOn w:val="DefaultParagraphFont"/>
    <w:uiPriority w:val="94"/>
    <w:semiHidden/>
    <w:rsid w:val="00262DF1"/>
    <w:rPr>
      <w:rFonts w:ascii="Arial" w:hAnsi="Arial" w:cs="Arial"/>
      <w:dstrike w:val="0"/>
      <w:noProof/>
      <w:color w:val="auto"/>
      <w:spacing w:val="0"/>
      <w:position w:val="0"/>
      <w:sz w:val="16"/>
      <w:szCs w:val="16"/>
      <w:u w:val="none"/>
      <w:effect w:val="none"/>
      <w:vertAlign w:val="baseline"/>
    </w:rPr>
  </w:style>
  <w:style w:type="paragraph" w:styleId="Header">
    <w:name w:val="header"/>
    <w:aliases w:val="zGDRAFTHeader"/>
    <w:basedOn w:val="Normal"/>
    <w:link w:val="HeaderChar"/>
    <w:uiPriority w:val="99"/>
    <w:unhideWhenUsed/>
    <w:rsid w:val="00262DF1"/>
    <w:pPr>
      <w:tabs>
        <w:tab w:val="center" w:pos="4680"/>
        <w:tab w:val="right" w:pos="9360"/>
      </w:tabs>
      <w:spacing w:after="0" w:line="240" w:lineRule="auto"/>
    </w:pPr>
  </w:style>
  <w:style w:type="character" w:styleId="HeaderChar" w:customStyle="1">
    <w:name w:val="Header Char"/>
    <w:aliases w:val="zGDRAFTHeader Char"/>
    <w:basedOn w:val="DefaultParagraphFont"/>
    <w:link w:val="Header"/>
    <w:uiPriority w:val="99"/>
    <w:rsid w:val="00262DF1"/>
  </w:style>
  <w:style w:type="character" w:styleId="FooterChar" w:customStyle="1">
    <w:name w:val="Footer Char"/>
    <w:basedOn w:val="DefaultParagraphFont"/>
    <w:link w:val="Footer"/>
    <w:uiPriority w:val="99"/>
    <w:rsid w:val="00262DF1"/>
  </w:style>
  <w:style w:type="paragraph" w:styleId="zGNormalDefinition" w:customStyle="1">
    <w:name w:val="zGNormalDefinition"/>
    <w:uiPriority w:val="3"/>
    <w:qFormat/>
    <w:rsid w:val="00262DF1"/>
    <w:pPr>
      <w:widowControl w:val="0"/>
      <w:autoSpaceDE w:val="0"/>
      <w:autoSpaceDN w:val="0"/>
      <w:adjustRightInd w:val="0"/>
      <w:spacing w:before="60" w:after="0" w:line="240" w:lineRule="auto"/>
      <w:jc w:val="both"/>
    </w:pPr>
    <w:rPr>
      <w:rFonts w:ascii="Arial" w:hAnsi="Arial" w:cs="Arial" w:eastAsiaTheme="minorEastAsia"/>
      <w:spacing w:val="-6"/>
      <w:kern w:val="14"/>
      <w:sz w:val="19"/>
      <w:szCs w:val="20"/>
      <w14:ligatures w14:val="none"/>
    </w:rPr>
  </w:style>
  <w:style w:type="paragraph" w:styleId="FootnoteText">
    <w:name w:val="footnote text"/>
    <w:aliases w:val="Style 19"/>
    <w:basedOn w:val="Normal"/>
    <w:link w:val="FootnoteTextChar"/>
    <w:uiPriority w:val="99"/>
    <w:unhideWhenUsed/>
    <w:qFormat/>
    <w:rsid w:val="00262DF1"/>
    <w:pPr>
      <w:spacing w:after="0" w:line="240" w:lineRule="auto"/>
    </w:pPr>
    <w:rPr>
      <w:sz w:val="20"/>
      <w:szCs w:val="20"/>
    </w:rPr>
  </w:style>
  <w:style w:type="character" w:styleId="FootnoteTextChar" w:customStyle="1">
    <w:name w:val="Footnote Text Char"/>
    <w:aliases w:val="Style 19 Char"/>
    <w:basedOn w:val="DefaultParagraphFont"/>
    <w:link w:val="FootnoteText"/>
    <w:uiPriority w:val="99"/>
    <w:rsid w:val="00262DF1"/>
    <w:rPr>
      <w:sz w:val="20"/>
      <w:szCs w:val="20"/>
    </w:rPr>
  </w:style>
  <w:style w:type="character" w:styleId="DeltaViewDeletion" w:customStyle="1">
    <w:name w:val="DeltaView Deletion"/>
    <w:uiPriority w:val="99"/>
    <w:semiHidden/>
    <w:rsid w:val="00262DF1"/>
    <w:rPr>
      <w:strike/>
      <w:color w:val="FF0000"/>
    </w:rPr>
  </w:style>
  <w:style w:type="character" w:styleId="Heading2Char" w:customStyle="1">
    <w:name w:val="Heading 2 Char"/>
    <w:basedOn w:val="DefaultParagraphFont"/>
    <w:link w:val="Heading2"/>
    <w:uiPriority w:val="9"/>
    <w:semiHidden/>
    <w:rsid w:val="00262DF1"/>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rsid w:val="00262DF1"/>
    <w:rPr>
      <w:rFonts w:asciiTheme="majorHAnsi" w:hAnsiTheme="majorHAnsi" w:eastAsiaTheme="majorEastAsia" w:cstheme="majorBidi"/>
      <w:color w:val="1F3763" w:themeColor="accent1" w:themeShade="7F"/>
      <w:sz w:val="24"/>
      <w:szCs w:val="24"/>
    </w:rPr>
  </w:style>
  <w:style w:type="character" w:styleId="BodyTextFirstIndentChar" w:customStyle="1">
    <w:name w:val="Body Text First Indent Char"/>
    <w:basedOn w:val="BodyTextChar"/>
    <w:link w:val="BodyTextFirstIndent"/>
    <w:uiPriority w:val="99"/>
    <w:semiHidden/>
    <w:rsid w:val="00262DF1"/>
  </w:style>
  <w:style w:type="paragraph" w:styleId="TOC1">
    <w:name w:val="toc 1"/>
    <w:basedOn w:val="Normal"/>
    <w:next w:val="Normal"/>
    <w:autoRedefine/>
    <w:uiPriority w:val="39"/>
    <w:unhideWhenUsed/>
    <w:rsid w:val="00262DF1"/>
    <w:pPr>
      <w:tabs>
        <w:tab w:val="left" w:pos="900"/>
        <w:tab w:val="right" w:leader="dot" w:pos="10070"/>
      </w:tabs>
      <w:spacing w:after="0" w:line="240" w:lineRule="auto"/>
      <w:jc w:val="center"/>
    </w:pPr>
    <w:rPr>
      <w:rFonts w:ascii="Arial Bold" w:hAnsi="Arial Bold"/>
      <w:b/>
      <w:caps/>
    </w:rPr>
  </w:style>
  <w:style w:type="paragraph" w:styleId="TOC2">
    <w:name w:val="toc 2"/>
    <w:basedOn w:val="Normal"/>
    <w:next w:val="Normal"/>
    <w:autoRedefine/>
    <w:uiPriority w:val="39"/>
    <w:unhideWhenUsed/>
    <w:rsid w:val="00262DF1"/>
    <w:pPr>
      <w:tabs>
        <w:tab w:val="right" w:leader="dot" w:pos="10070"/>
      </w:tabs>
      <w:spacing w:after="0" w:line="240" w:lineRule="auto"/>
      <w:ind w:left="1440" w:hanging="720"/>
    </w:pPr>
    <w:rPr>
      <w:rFonts w:ascii="Arial" w:hAnsi="Arial"/>
      <w:sz w:val="20"/>
    </w:rPr>
  </w:style>
  <w:style w:type="character" w:styleId="ArticleL2Char" w:customStyle="1">
    <w:name w:val="Article_L2 Char"/>
    <w:basedOn w:val="BodyTextChar"/>
    <w:link w:val="ArticleL2"/>
    <w:rsid w:val="00262DF1"/>
    <w:rPr>
      <w:rFonts w:ascii="Times New Roman" w:hAnsi="Times New Roman" w:eastAsia="Times New Roman" w:cs="Times New Roman"/>
      <w:kern w:val="0"/>
      <w:sz w:val="24"/>
      <w:szCs w:val="20"/>
      <w14:ligatures w14:val="none"/>
    </w:rPr>
  </w:style>
  <w:style w:type="paragraph" w:styleId="TOC3">
    <w:name w:val="toc 3"/>
    <w:basedOn w:val="Normal"/>
    <w:next w:val="Normal"/>
    <w:autoRedefine/>
    <w:uiPriority w:val="39"/>
    <w:unhideWhenUsed/>
    <w:rsid w:val="00262DF1"/>
    <w:pPr>
      <w:spacing w:after="100"/>
      <w:ind w:left="440"/>
    </w:pPr>
    <w:rPr>
      <w:rFonts w:eastAsiaTheme="minorEastAsia"/>
    </w:rPr>
  </w:style>
  <w:style w:type="paragraph" w:styleId="TOC4">
    <w:name w:val="toc 4"/>
    <w:basedOn w:val="Normal"/>
    <w:next w:val="Normal"/>
    <w:autoRedefine/>
    <w:uiPriority w:val="39"/>
    <w:unhideWhenUsed/>
    <w:rsid w:val="00262DF1"/>
    <w:pPr>
      <w:spacing w:after="100"/>
      <w:ind w:left="660"/>
    </w:pPr>
    <w:rPr>
      <w:rFonts w:eastAsiaTheme="minorEastAsia"/>
    </w:rPr>
  </w:style>
  <w:style w:type="paragraph" w:styleId="TOC5">
    <w:name w:val="toc 5"/>
    <w:basedOn w:val="Normal"/>
    <w:next w:val="Normal"/>
    <w:autoRedefine/>
    <w:uiPriority w:val="39"/>
    <w:unhideWhenUsed/>
    <w:rsid w:val="00262DF1"/>
    <w:pPr>
      <w:spacing w:after="100"/>
      <w:ind w:left="880"/>
    </w:pPr>
    <w:rPr>
      <w:rFonts w:eastAsiaTheme="minorEastAsia"/>
    </w:rPr>
  </w:style>
  <w:style w:type="paragraph" w:styleId="TOC6">
    <w:name w:val="toc 6"/>
    <w:basedOn w:val="Normal"/>
    <w:next w:val="Normal"/>
    <w:autoRedefine/>
    <w:uiPriority w:val="39"/>
    <w:unhideWhenUsed/>
    <w:rsid w:val="00262DF1"/>
    <w:pPr>
      <w:spacing w:after="100"/>
      <w:ind w:left="1100"/>
    </w:pPr>
    <w:rPr>
      <w:rFonts w:eastAsiaTheme="minorEastAsia"/>
    </w:rPr>
  </w:style>
  <w:style w:type="paragraph" w:styleId="TOC7">
    <w:name w:val="toc 7"/>
    <w:basedOn w:val="Normal"/>
    <w:next w:val="Normal"/>
    <w:autoRedefine/>
    <w:uiPriority w:val="39"/>
    <w:unhideWhenUsed/>
    <w:rsid w:val="00262DF1"/>
    <w:pPr>
      <w:spacing w:after="100"/>
      <w:ind w:left="1320"/>
    </w:pPr>
    <w:rPr>
      <w:rFonts w:eastAsiaTheme="minorEastAsia"/>
    </w:rPr>
  </w:style>
  <w:style w:type="paragraph" w:styleId="TOC9">
    <w:name w:val="toc 9"/>
    <w:basedOn w:val="Normal"/>
    <w:next w:val="Normal"/>
    <w:autoRedefine/>
    <w:uiPriority w:val="39"/>
    <w:unhideWhenUsed/>
    <w:rsid w:val="00262DF1"/>
    <w:pPr>
      <w:spacing w:after="100"/>
      <w:ind w:left="1760"/>
    </w:pPr>
    <w:rPr>
      <w:rFonts w:eastAsiaTheme="minorEastAsia"/>
    </w:rPr>
  </w:style>
  <w:style w:type="character" w:styleId="Hyperlink">
    <w:name w:val="Hyperlink"/>
    <w:basedOn w:val="DefaultParagraphFont"/>
    <w:uiPriority w:val="99"/>
    <w:unhideWhenUsed/>
    <w:rsid w:val="00262DF1"/>
    <w:rPr>
      <w:rFonts w:ascii="Arial" w:hAnsi="Arial"/>
      <w:b/>
      <w:color w:val="0563C1" w:themeColor="hyperlink"/>
      <w:sz w:val="18"/>
      <w:u w:val="single"/>
    </w:rPr>
  </w:style>
  <w:style w:type="character" w:styleId="UnresolvedMention">
    <w:name w:val="Unresolved Mention"/>
    <w:basedOn w:val="DefaultParagraphFont"/>
    <w:uiPriority w:val="99"/>
    <w:unhideWhenUsed/>
    <w:rsid w:val="00262DF1"/>
    <w:rPr>
      <w:color w:val="605E5C"/>
      <w:shd w:val="clear" w:color="auto" w:fill="E1DFDD"/>
    </w:rPr>
  </w:style>
  <w:style w:type="paragraph" w:styleId="ArticleL2" w:customStyle="1">
    <w:name w:val="Article_L2"/>
    <w:basedOn w:val="Normal"/>
    <w:next w:val="BodyText"/>
    <w:link w:val="ArticleL2Char"/>
    <w:rsid w:val="00262DF1"/>
    <w:pPr>
      <w:spacing w:after="240" w:line="240" w:lineRule="auto"/>
      <w:jc w:val="both"/>
      <w:outlineLvl w:val="1"/>
    </w:pPr>
    <w:rPr>
      <w:rFonts w:ascii="Times New Roman" w:hAnsi="Times New Roman" w:eastAsia="Times New Roman" w:cs="Times New Roman"/>
      <w:kern w:val="0"/>
      <w:sz w:val="24"/>
      <w:szCs w:val="20"/>
      <w14:ligatures w14:val="none"/>
    </w:rPr>
  </w:style>
  <w:style w:type="paragraph" w:styleId="BodyText">
    <w:name w:val="Body Text"/>
    <w:basedOn w:val="Normal"/>
    <w:link w:val="BodyTextChar"/>
    <w:unhideWhenUsed/>
    <w:qFormat/>
    <w:rsid w:val="00262DF1"/>
    <w:pPr>
      <w:spacing w:after="120"/>
    </w:pPr>
  </w:style>
  <w:style w:type="character" w:styleId="BodyTextChar" w:customStyle="1">
    <w:name w:val="Body Text Char"/>
    <w:basedOn w:val="DefaultParagraphFont"/>
    <w:link w:val="BodyText"/>
    <w:rsid w:val="00262DF1"/>
  </w:style>
  <w:style w:type="paragraph" w:styleId="CommentText">
    <w:name w:val="annotation text"/>
    <w:basedOn w:val="Normal"/>
    <w:link w:val="CommentTextChar"/>
    <w:uiPriority w:val="99"/>
    <w:rsid w:val="00262DF1"/>
    <w:pPr>
      <w:spacing w:after="0" w:line="240" w:lineRule="auto"/>
      <w:jc w:val="center"/>
    </w:pPr>
    <w:rPr>
      <w:rFonts w:ascii="Times New Roman" w:hAnsi="Times New Roman" w:eastAsia="Calibri" w:cs="Times New Roman"/>
      <w:kern w:val="0"/>
      <w:sz w:val="20"/>
      <w:szCs w:val="20"/>
      <w14:ligatures w14:val="none"/>
    </w:rPr>
  </w:style>
  <w:style w:type="character" w:styleId="CommentTextChar" w:customStyle="1">
    <w:name w:val="Comment Text Char"/>
    <w:basedOn w:val="DefaultParagraphFont"/>
    <w:link w:val="CommentText"/>
    <w:uiPriority w:val="99"/>
    <w:rsid w:val="00262DF1"/>
    <w:rPr>
      <w:rFonts w:ascii="Times New Roman" w:hAnsi="Times New Roman" w:eastAsia="Calibri" w:cs="Times New Roman"/>
      <w:kern w:val="0"/>
      <w:sz w:val="20"/>
      <w:szCs w:val="20"/>
      <w14:ligatures w14:val="none"/>
    </w:rPr>
  </w:style>
  <w:style w:type="character" w:styleId="Heading4Char" w:customStyle="1">
    <w:name w:val="Heading 4 Char"/>
    <w:basedOn w:val="DefaultParagraphFont"/>
    <w:link w:val="Heading4"/>
    <w:rsid w:val="00262DF1"/>
    <w:rPr>
      <w:rFonts w:ascii="Times New Roman" w:hAnsi="Times New Roman" w:eastAsia="Times New Roman" w:cs="Times New Roman"/>
      <w:b/>
      <w:kern w:val="0"/>
      <w:sz w:val="24"/>
      <w:szCs w:val="24"/>
      <w14:ligatures w14:val="none"/>
    </w:rPr>
  </w:style>
  <w:style w:type="paragraph" w:styleId="Revision">
    <w:name w:val="Revision"/>
    <w:hidden/>
    <w:uiPriority w:val="99"/>
    <w:semiHidden/>
    <w:rsid w:val="0029492C"/>
    <w:pPr>
      <w:spacing w:after="0" w:line="240" w:lineRule="auto"/>
    </w:pPr>
  </w:style>
  <w:style w:type="paragraph" w:styleId="CommentSubject">
    <w:name w:val="annotation subject"/>
    <w:basedOn w:val="CommentText"/>
    <w:next w:val="CommentText"/>
    <w:link w:val="CommentSubjectChar"/>
    <w:uiPriority w:val="99"/>
    <w:semiHidden/>
    <w:unhideWhenUsed/>
    <w:rsid w:val="00262DF1"/>
    <w:pPr>
      <w:spacing w:after="160"/>
      <w:jc w:val="left"/>
    </w:pPr>
    <w:rPr>
      <w:b/>
      <w:bCs/>
    </w:rPr>
  </w:style>
  <w:style w:type="character" w:styleId="CommentSubjectChar" w:customStyle="1">
    <w:name w:val="Comment Subject Char"/>
    <w:basedOn w:val="CommentTextChar"/>
    <w:link w:val="CommentSubject"/>
    <w:uiPriority w:val="99"/>
    <w:semiHidden/>
    <w:rsid w:val="00262DF1"/>
    <w:rPr>
      <w:rFonts w:ascii="Times New Roman" w:hAnsi="Times New Roman" w:eastAsia="Calibri" w:cs="Times New Roman"/>
      <w:b/>
      <w:bCs/>
      <w:kern w:val="0"/>
      <w:sz w:val="20"/>
      <w:szCs w:val="20"/>
      <w14:ligatures w14:val="none"/>
    </w:rPr>
  </w:style>
  <w:style w:type="paragraph" w:styleId="LR" w:customStyle="1">
    <w:name w:val="L/R"/>
    <w:basedOn w:val="Normal"/>
    <w:rsid w:val="00262DF1"/>
    <w:pPr>
      <w:tabs>
        <w:tab w:val="right" w:pos="9360"/>
      </w:tabs>
      <w:spacing w:after="240" w:line="240" w:lineRule="auto"/>
      <w:jc w:val="both"/>
    </w:pPr>
    <w:rPr>
      <w:rFonts w:ascii="Times New Roman" w:hAnsi="Times New Roman" w:eastAsia="Times New Roman" w:cs="Times New Roman"/>
      <w:kern w:val="0"/>
      <w:sz w:val="24"/>
      <w:szCs w:val="20"/>
      <w14:ligatures w14:val="none"/>
    </w:rPr>
  </w:style>
  <w:style w:type="paragraph" w:styleId="ListNumber2">
    <w:name w:val="List Number 2"/>
    <w:basedOn w:val="Normal"/>
    <w:uiPriority w:val="99"/>
    <w:semiHidden/>
    <w:unhideWhenUsed/>
    <w:rsid w:val="00262DF1"/>
    <w:pPr>
      <w:numPr>
        <w:numId w:val="24"/>
      </w:numPr>
      <w:spacing w:after="0" w:line="240" w:lineRule="auto"/>
      <w:contextualSpacing/>
    </w:pPr>
    <w:rPr>
      <w:rFonts w:ascii="Times New Roman" w:hAnsi="Times New Roman" w:eastAsia="Calibri" w:cs="Times New Roman"/>
      <w:kern w:val="0"/>
      <w:sz w:val="24"/>
      <w:szCs w:val="24"/>
      <w14:ligatures w14:val="none"/>
    </w:rPr>
  </w:style>
  <w:style w:type="paragraph" w:styleId="ArticleL1" w:customStyle="1">
    <w:name w:val="Article_L1"/>
    <w:basedOn w:val="Normal"/>
    <w:next w:val="BodyText"/>
    <w:rsid w:val="00262DF1"/>
    <w:pPr>
      <w:spacing w:after="240" w:line="240" w:lineRule="auto"/>
      <w:jc w:val="center"/>
      <w:outlineLvl w:val="0"/>
    </w:pPr>
    <w:rPr>
      <w:rFonts w:ascii="Times New Roman" w:hAnsi="Times New Roman" w:eastAsia="Times New Roman" w:cs="Times New Roman"/>
      <w:b/>
      <w:caps/>
      <w:kern w:val="0"/>
      <w:sz w:val="24"/>
      <w:szCs w:val="20"/>
      <w14:ligatures w14:val="none"/>
    </w:rPr>
  </w:style>
  <w:style w:type="paragraph" w:styleId="ArticleL3" w:customStyle="1">
    <w:name w:val="Article_L3"/>
    <w:basedOn w:val="ArticleL2"/>
    <w:next w:val="BodyText"/>
    <w:link w:val="ArticleL3Char"/>
    <w:rsid w:val="00262DF1"/>
    <w:pPr>
      <w:tabs>
        <w:tab w:val="num" w:pos="2160"/>
      </w:tabs>
      <w:ind w:firstLine="1440"/>
      <w:outlineLvl w:val="2"/>
    </w:pPr>
  </w:style>
  <w:style w:type="character" w:styleId="ArticleL3Char" w:customStyle="1">
    <w:name w:val="Article_L3 Char"/>
    <w:basedOn w:val="DefaultParagraphFont"/>
    <w:link w:val="ArticleL3"/>
    <w:rsid w:val="00262DF1"/>
    <w:rPr>
      <w:rFonts w:ascii="Times New Roman" w:hAnsi="Times New Roman" w:eastAsia="Times New Roman" w:cs="Times New Roman"/>
      <w:kern w:val="0"/>
      <w:sz w:val="24"/>
      <w:szCs w:val="20"/>
      <w14:ligatures w14:val="none"/>
    </w:rPr>
  </w:style>
  <w:style w:type="paragraph" w:styleId="ArticleL4" w:customStyle="1">
    <w:name w:val="Article_L4"/>
    <w:basedOn w:val="ArticleL3"/>
    <w:next w:val="BodyText"/>
    <w:rsid w:val="00262DF1"/>
    <w:pPr>
      <w:tabs>
        <w:tab w:val="clear" w:pos="2160"/>
        <w:tab w:val="num" w:pos="360"/>
        <w:tab w:val="num" w:pos="936"/>
      </w:tabs>
      <w:ind w:left="504"/>
      <w:outlineLvl w:val="3"/>
    </w:pPr>
  </w:style>
  <w:style w:type="paragraph" w:styleId="ArticleL5" w:customStyle="1">
    <w:name w:val="Article_L5"/>
    <w:basedOn w:val="ArticleL4"/>
    <w:next w:val="BodyText"/>
    <w:rsid w:val="00262DF1"/>
    <w:pPr>
      <w:tabs>
        <w:tab w:val="clear" w:pos="936"/>
        <w:tab w:val="num" w:pos="1368"/>
      </w:tabs>
      <w:ind w:left="864"/>
      <w:outlineLvl w:val="4"/>
    </w:pPr>
  </w:style>
  <w:style w:type="paragraph" w:styleId="ArticleL6" w:customStyle="1">
    <w:name w:val="Article_L6"/>
    <w:basedOn w:val="ArticleL5"/>
    <w:next w:val="BodyText"/>
    <w:rsid w:val="00262DF1"/>
    <w:pPr>
      <w:tabs>
        <w:tab w:val="clear" w:pos="1368"/>
      </w:tabs>
      <w:ind w:left="2160" w:hanging="360"/>
      <w:outlineLvl w:val="5"/>
    </w:pPr>
  </w:style>
  <w:style w:type="paragraph" w:styleId="ArticleL7" w:customStyle="1">
    <w:name w:val="Article_L7"/>
    <w:basedOn w:val="ArticleL6"/>
    <w:next w:val="BodyText"/>
    <w:rsid w:val="00262DF1"/>
    <w:pPr>
      <w:ind w:left="2520"/>
      <w:jc w:val="left"/>
      <w:outlineLvl w:val="6"/>
    </w:pPr>
  </w:style>
  <w:style w:type="paragraph" w:styleId="ArticleL8" w:customStyle="1">
    <w:name w:val="Article_L8"/>
    <w:basedOn w:val="ArticleL7"/>
    <w:next w:val="BodyText"/>
    <w:rsid w:val="00262DF1"/>
    <w:pPr>
      <w:ind w:left="2880"/>
      <w:outlineLvl w:val="7"/>
    </w:pPr>
  </w:style>
  <w:style w:type="paragraph" w:styleId="ArticleL9" w:customStyle="1">
    <w:name w:val="Article_L9"/>
    <w:basedOn w:val="ArticleL8"/>
    <w:next w:val="BodyText"/>
    <w:rsid w:val="00262DF1"/>
    <w:pPr>
      <w:ind w:left="3240"/>
      <w:outlineLvl w:val="8"/>
    </w:pPr>
  </w:style>
  <w:style w:type="paragraph" w:styleId="TitlePageDocument" w:customStyle="1">
    <w:name w:val="Title Page Document"/>
    <w:basedOn w:val="Normal"/>
    <w:rsid w:val="00262DF1"/>
    <w:pPr>
      <w:spacing w:after="0" w:line="240" w:lineRule="auto"/>
      <w:jc w:val="center"/>
    </w:pPr>
    <w:rPr>
      <w:rFonts w:ascii="Times New Roman" w:hAnsi="Times New Roman" w:eastAsia="Times New Roman" w:cs="Times New Roman"/>
      <w:b/>
      <w:bCs/>
      <w:caps/>
      <w:kern w:val="0"/>
      <w:sz w:val="24"/>
      <w:szCs w:val="20"/>
      <w14:ligatures w14:val="none"/>
    </w:rPr>
  </w:style>
  <w:style w:type="paragraph" w:styleId="HeadingBody2" w:customStyle="1">
    <w:name w:val="HeadingBody 2"/>
    <w:basedOn w:val="Normal"/>
    <w:next w:val="Normal"/>
    <w:link w:val="HeadingBody2Char"/>
    <w:rsid w:val="00262DF1"/>
    <w:pPr>
      <w:suppressAutoHyphens/>
      <w:spacing w:after="240" w:line="240" w:lineRule="auto"/>
      <w:ind w:firstLine="1440"/>
    </w:pPr>
    <w:rPr>
      <w:rFonts w:ascii="Times New Roman" w:hAnsi="Times New Roman" w:eastAsia="Times New Roman" w:cs="Times New Roman"/>
      <w:kern w:val="0"/>
      <w:sz w:val="24"/>
      <w:szCs w:val="24"/>
      <w14:ligatures w14:val="none"/>
    </w:rPr>
  </w:style>
  <w:style w:type="character" w:styleId="HeadingBody2Char" w:customStyle="1">
    <w:name w:val="HeadingBody 2 Char"/>
    <w:link w:val="HeadingBody2"/>
    <w:rsid w:val="00262DF1"/>
    <w:rPr>
      <w:rFonts w:ascii="Times New Roman" w:hAnsi="Times New Roman" w:eastAsia="Times New Roman" w:cs="Times New Roman"/>
      <w:kern w:val="0"/>
      <w:sz w:val="24"/>
      <w:szCs w:val="24"/>
      <w14:ligatures w14:val="none"/>
    </w:rPr>
  </w:style>
  <w:style w:type="character" w:styleId="Mention">
    <w:name w:val="Mention"/>
    <w:basedOn w:val="DefaultParagraphFont"/>
    <w:uiPriority w:val="99"/>
    <w:unhideWhenUsed/>
    <w:rsid w:val="00262DF1"/>
    <w:rPr>
      <w:color w:val="2B579A"/>
      <w:shd w:val="clear" w:color="auto" w:fill="E6E6E6"/>
    </w:rPr>
  </w:style>
  <w:style w:type="table" w:styleId="TableGrid1" w:customStyle="1">
    <w:name w:val="Table Grid1"/>
    <w:basedOn w:val="TableNormal"/>
    <w:next w:val="TableGrid"/>
    <w:rsid w:val="00262DF1"/>
    <w:pPr>
      <w:spacing w:after="0" w:line="240" w:lineRule="auto"/>
    </w:pPr>
    <w:rPr>
      <w:rFonts w:ascii="Arial" w:hAnsi="Arial" w:cs="Times New Roman"/>
      <w:kern w:val="0"/>
      <w:sz w:val="20"/>
      <w:szCs w:val="20"/>
      <w14:ligatures w14:val="none"/>
    </w:rPr>
    <w:tblPr/>
  </w:style>
  <w:style w:type="table" w:styleId="TableGrid">
    <w:name w:val="Table Grid"/>
    <w:basedOn w:val="TableNormal"/>
    <w:rsid w:val="00262DF1"/>
    <w:pPr>
      <w:spacing w:after="0" w:line="240" w:lineRule="auto"/>
    </w:pPr>
    <w:rPr>
      <w:kern w:val="0"/>
      <w14:ligatures w14:val="none"/>
    </w:rPr>
    <w:tblPr/>
  </w:style>
  <w:style w:type="paragraph" w:styleId="zGTC032" w:customStyle="1">
    <w:name w:val="zGTC03_2"/>
    <w:uiPriority w:val="1"/>
    <w:qFormat/>
    <w:pPr>
      <w:tabs>
        <w:tab w:val="num" w:pos="1368"/>
      </w:tabs>
      <w:spacing w:after="120" w:line="240" w:lineRule="auto"/>
      <w:ind w:left="720"/>
      <w:jc w:val="both"/>
    </w:pPr>
    <w:rPr>
      <w:rFonts w:ascii="Arial" w:hAnsi="Arial" w:eastAsia="Times New Roman" w:cs="Times New Roman"/>
      <w:kern w:val="14"/>
      <w:sz w:val="20"/>
      <w:szCs w:val="24"/>
      <w14:ligatures w14:val="none"/>
    </w:rPr>
  </w:style>
  <w:style w:type="paragraph" w:styleId="Normal0" w:customStyle="1">
    <w:name w:val="@Normal"/>
    <w:rsid w:val="00262DF1"/>
    <w:pPr>
      <w:suppressAutoHyphens/>
      <w:spacing w:after="0" w:line="240" w:lineRule="auto"/>
    </w:pPr>
    <w:rPr>
      <w:rFonts w:ascii="Times New Roman" w:hAnsi="Times New Roman" w:eastAsia="SimSun" w:cs="Times New Roman"/>
      <w:kern w:val="0"/>
      <w:sz w:val="24"/>
      <w:szCs w:val="20"/>
      <w14:ligatures w14:val="none"/>
    </w:rPr>
  </w:style>
  <w:style w:type="paragraph" w:styleId="ListParagraph">
    <w:name w:val="List Paragraph"/>
    <w:basedOn w:val="Normal"/>
    <w:uiPriority w:val="34"/>
    <w:qFormat/>
    <w:rsid w:val="00262DF1"/>
    <w:pPr>
      <w:spacing w:after="0" w:line="240" w:lineRule="auto"/>
      <w:ind w:left="720"/>
      <w:contextualSpacing/>
      <w:jc w:val="both"/>
    </w:pPr>
    <w:rPr>
      <w:rFonts w:ascii="Times New Roman" w:hAnsi="Times New Roman" w:eastAsia="Times New Roman" w:cs="Times New Roman"/>
      <w:kern w:val="0"/>
      <w:sz w:val="24"/>
      <w:szCs w:val="24"/>
      <w14:ligatures w14:val="none"/>
    </w:rPr>
  </w:style>
  <w:style w:type="character" w:styleId="ui-provider" w:customStyle="1">
    <w:name w:val="ui-provider"/>
    <w:basedOn w:val="DefaultParagraphFont"/>
    <w:rsid w:val="00262DF1"/>
  </w:style>
  <w:style w:type="paragraph" w:styleId="Subtitle2" w:customStyle="1">
    <w:name w:val="Subtitle2"/>
    <w:basedOn w:val="Normal"/>
    <w:next w:val="BodyTextFirstIndent"/>
    <w:uiPriority w:val="94"/>
    <w:semiHidden/>
    <w:qFormat/>
    <w:rsid w:val="00262DF1"/>
    <w:pPr>
      <w:keepNext/>
      <w:spacing w:before="120" w:after="240" w:line="240" w:lineRule="auto"/>
      <w:jc w:val="both"/>
    </w:pPr>
    <w:rPr>
      <w:rFonts w:ascii="Arial" w:hAnsi="Arial" w:cs="Times New Roman"/>
      <w:kern w:val="0"/>
      <w:sz w:val="20"/>
      <w:szCs w:val="20"/>
      <w:u w:val="single"/>
      <w14:ligatures w14:val="none"/>
    </w:rPr>
  </w:style>
  <w:style w:type="character" w:styleId="normaltextrun" w:customStyle="1">
    <w:name w:val="normaltextrun"/>
    <w:basedOn w:val="DefaultParagraphFont"/>
    <w:rsid w:val="00262DF1"/>
  </w:style>
  <w:style w:type="paragraph" w:styleId="Definitions" w:customStyle="1">
    <w:name w:val="Definitions"/>
    <w:uiPriority w:val="4"/>
    <w:rsid w:val="00262DF1"/>
    <w:pPr>
      <w:spacing w:after="120" w:line="240" w:lineRule="auto"/>
      <w:jc w:val="both"/>
    </w:pPr>
    <w:rPr>
      <w:rFonts w:ascii="Arial" w:hAnsi="Arial" w:cs="Times New Roman"/>
      <w:kern w:val="0"/>
      <w:sz w:val="20"/>
      <w:szCs w:val="20"/>
      <w14:ligatures w14:val="none"/>
    </w:rPr>
  </w:style>
  <w:style w:type="paragraph" w:styleId="DocID" w:customStyle="1">
    <w:name w:val="DocID"/>
    <w:basedOn w:val="Normal"/>
    <w:rsid w:val="00262DF1"/>
    <w:pPr>
      <w:jc w:val="right"/>
    </w:pPr>
    <w:rPr>
      <w:rFonts w:ascii="Times New Roman" w:hAnsi="Times New Roman" w:eastAsiaTheme="minorEastAsia"/>
      <w:kern w:val="0"/>
      <w:sz w:val="16"/>
      <w:lang w:eastAsia="zh-CN"/>
      <w14:ligatures w14:val="none"/>
    </w:rPr>
  </w:style>
  <w:style w:type="paragraph" w:styleId="ListBullet2">
    <w:name w:val="List Bullet 2"/>
    <w:basedOn w:val="Normal"/>
    <w:uiPriority w:val="99"/>
    <w:semiHidden/>
    <w:unhideWhenUsed/>
    <w:rsid w:val="00262DF1"/>
    <w:pPr>
      <w:ind w:left="1440" w:hanging="360"/>
      <w:contextualSpacing/>
    </w:pPr>
  </w:style>
  <w:style w:type="character" w:styleId="Heading7Char" w:customStyle="1">
    <w:name w:val="Heading 7 Char"/>
    <w:basedOn w:val="DefaultParagraphFont"/>
    <w:link w:val="Heading7"/>
    <w:uiPriority w:val="9"/>
    <w:semiHidden/>
    <w:rsid w:val="00262DF1"/>
    <w:rPr>
      <w:rFonts w:asciiTheme="majorHAnsi" w:hAnsiTheme="majorHAnsi" w:eastAsiaTheme="majorEastAsia" w:cstheme="majorBidi"/>
      <w:i/>
      <w:iCs/>
      <w:color w:val="1F3763" w:themeColor="accent1" w:themeShade="7F"/>
    </w:rPr>
  </w:style>
  <w:style w:type="paragraph" w:styleId="zGTextHangingIndent10" w:customStyle="1">
    <w:name w:val="zGText Hanging Indent 1.0"/>
    <w:basedOn w:val="Normal"/>
    <w:uiPriority w:val="5"/>
    <w:unhideWhenUsed/>
    <w:rsid w:val="00262DF1"/>
    <w:pPr>
      <w:spacing w:after="240" w:line="240" w:lineRule="auto"/>
      <w:ind w:left="2160" w:hanging="720"/>
      <w:jc w:val="both"/>
    </w:pPr>
    <w:rPr>
      <w:rFonts w:ascii="Arial" w:hAnsi="Arial" w:cs="Times New Roman"/>
      <w:kern w:val="0"/>
      <w:sz w:val="20"/>
      <w:szCs w:val="20"/>
      <w14:ligatures w14:val="none"/>
    </w:rPr>
  </w:style>
  <w:style w:type="paragraph" w:styleId="zGTextHangingIndent15" w:customStyle="1">
    <w:name w:val="zGText Hanging Indent 1.5"/>
    <w:basedOn w:val="zGTextHangingIndent10"/>
    <w:uiPriority w:val="5"/>
    <w:unhideWhenUsed/>
    <w:rsid w:val="00262DF1"/>
    <w:pPr>
      <w:ind w:left="2880"/>
    </w:pPr>
  </w:style>
  <w:style w:type="paragraph" w:styleId="zGTC021" w:customStyle="1">
    <w:name w:val="zGTC02_1"/>
    <w:uiPriority w:val="1"/>
    <w:qFormat/>
    <w:rsid w:val="00262DF1"/>
    <w:pPr>
      <w:tabs>
        <w:tab w:val="left" w:pos="576"/>
        <w:tab w:val="num" w:pos="720"/>
      </w:tabs>
      <w:spacing w:after="120" w:line="240" w:lineRule="auto"/>
      <w:jc w:val="both"/>
    </w:pPr>
    <w:rPr>
      <w:rFonts w:ascii="Arial Bold" w:hAnsi="Arial Bold" w:eastAsia="Times New Roman" w:cs="Times New Roman"/>
      <w:b/>
      <w:kern w:val="14"/>
      <w:sz w:val="20"/>
      <w:szCs w:val="24"/>
      <w14:ligatures w14:val="none"/>
    </w:rPr>
  </w:style>
  <w:style w:type="paragraph" w:styleId="zGTC031" w:customStyle="1">
    <w:name w:val="zGTC03_1"/>
    <w:uiPriority w:val="1"/>
    <w:qFormat/>
    <w:pPr>
      <w:tabs>
        <w:tab w:val="num" w:pos="1368"/>
      </w:tabs>
      <w:spacing w:after="120" w:line="240" w:lineRule="auto"/>
      <w:ind w:left="720"/>
      <w:jc w:val="both"/>
    </w:pPr>
    <w:rPr>
      <w:rFonts w:ascii="Arial" w:hAnsi="Arial" w:eastAsia="Times New Roman" w:cs="Times New Roman"/>
      <w:kern w:val="14"/>
      <w:sz w:val="20"/>
      <w:szCs w:val="24"/>
      <w14:ligatures w14:val="none"/>
    </w:rPr>
  </w:style>
  <w:style w:type="paragraph" w:styleId="zGTC0310" w:customStyle="1">
    <w:name w:val="zGTC03_10"/>
    <w:uiPriority w:val="1"/>
    <w:qFormat/>
    <w:rsid w:val="00262DF1"/>
    <w:pPr>
      <w:tabs>
        <w:tab w:val="num" w:pos="1368"/>
      </w:tabs>
      <w:spacing w:after="120" w:line="240" w:lineRule="auto"/>
      <w:ind w:left="720"/>
      <w:jc w:val="both"/>
    </w:pPr>
    <w:rPr>
      <w:rFonts w:ascii="Arial" w:hAnsi="Arial" w:eastAsia="Times New Roman" w:cs="Times New Roman"/>
      <w:kern w:val="14"/>
      <w:sz w:val="20"/>
      <w:szCs w:val="24"/>
      <w14:ligatures w14:val="none"/>
    </w:rPr>
  </w:style>
  <w:style w:type="paragraph" w:styleId="zGTC0320" w:customStyle="1">
    <w:name w:val="zGTC03_20"/>
    <w:uiPriority w:val="1"/>
    <w:qFormat/>
    <w:rsid w:val="00262DF1"/>
    <w:pPr>
      <w:tabs>
        <w:tab w:val="num" w:pos="1368"/>
      </w:tabs>
      <w:spacing w:after="120" w:line="240" w:lineRule="auto"/>
      <w:ind w:left="720"/>
      <w:jc w:val="both"/>
    </w:pPr>
    <w:rPr>
      <w:rFonts w:ascii="Arial" w:hAnsi="Arial" w:eastAsia="Times New Roman" w:cs="Times New Roman"/>
      <w:kern w:val="14"/>
      <w:sz w:val="20"/>
      <w:szCs w:val="24"/>
      <w14:ligatures w14:val="none"/>
    </w:rPr>
  </w:style>
  <w:style w:type="paragraph" w:styleId="zGTC03100" w:customStyle="1">
    <w:name w:val="zGTC03_100"/>
    <w:uiPriority w:val="1"/>
    <w:qFormat/>
    <w:rsid w:val="008D4338"/>
    <w:pPr>
      <w:tabs>
        <w:tab w:val="num" w:pos="1368"/>
      </w:tabs>
      <w:spacing w:after="120" w:line="240" w:lineRule="auto"/>
      <w:ind w:left="720"/>
      <w:jc w:val="both"/>
    </w:pPr>
    <w:rPr>
      <w:rFonts w:ascii="Arial" w:hAnsi="Arial" w:eastAsia="Times New Roman" w:cs="Times New Roman"/>
      <w:kern w:val="14"/>
      <w:sz w:val="20"/>
      <w:szCs w:val="24"/>
      <w14:ligatures w14:val="none"/>
    </w:rPr>
  </w:style>
  <w:style w:type="paragraph" w:styleId="zGTC03200" w:customStyle="1">
    <w:name w:val="zGTC03_200"/>
    <w:uiPriority w:val="1"/>
    <w:qFormat/>
    <w:rsid w:val="008D4338"/>
    <w:pPr>
      <w:tabs>
        <w:tab w:val="num" w:pos="1368"/>
      </w:tabs>
      <w:spacing w:after="120" w:line="240" w:lineRule="auto"/>
      <w:ind w:left="720"/>
      <w:jc w:val="both"/>
    </w:pPr>
    <w:rPr>
      <w:rFonts w:ascii="Arial" w:hAnsi="Arial" w:eastAsia="Times New Roman" w:cs="Times New Roman"/>
      <w:kern w:val="14"/>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648651">
      <w:bodyDiv w:val="1"/>
      <w:marLeft w:val="0"/>
      <w:marRight w:val="0"/>
      <w:marTop w:val="0"/>
      <w:marBottom w:val="0"/>
      <w:divBdr>
        <w:top w:val="none" w:sz="0" w:space="0" w:color="auto"/>
        <w:left w:val="none" w:sz="0" w:space="0" w:color="auto"/>
        <w:bottom w:val="none" w:sz="0" w:space="0" w:color="auto"/>
        <w:right w:val="none" w:sz="0" w:space="0" w:color="auto"/>
      </w:divBdr>
    </w:div>
    <w:div w:id="1315376680">
      <w:bodyDiv w:val="1"/>
      <w:marLeft w:val="0"/>
      <w:marRight w:val="0"/>
      <w:marTop w:val="0"/>
      <w:marBottom w:val="0"/>
      <w:divBdr>
        <w:top w:val="none" w:sz="0" w:space="0" w:color="auto"/>
        <w:left w:val="none" w:sz="0" w:space="0" w:color="auto"/>
        <w:bottom w:val="none" w:sz="0" w:space="0" w:color="auto"/>
        <w:right w:val="none" w:sz="0" w:space="0" w:color="auto"/>
      </w:divBdr>
    </w:div>
    <w:div w:id="1392271226">
      <w:bodyDiv w:val="1"/>
      <w:marLeft w:val="0"/>
      <w:marRight w:val="0"/>
      <w:marTop w:val="0"/>
      <w:marBottom w:val="0"/>
      <w:divBdr>
        <w:top w:val="none" w:sz="0" w:space="0" w:color="auto"/>
        <w:left w:val="none" w:sz="0" w:space="0" w:color="auto"/>
        <w:bottom w:val="none" w:sz="0" w:space="0" w:color="auto"/>
        <w:right w:val="none" w:sz="0" w:space="0" w:color="auto"/>
      </w:divBdr>
    </w:div>
    <w:div w:id="1820460498">
      <w:bodyDiv w:val="1"/>
      <w:marLeft w:val="0"/>
      <w:marRight w:val="0"/>
      <w:marTop w:val="0"/>
      <w:marBottom w:val="0"/>
      <w:divBdr>
        <w:top w:val="none" w:sz="0" w:space="0" w:color="auto"/>
        <w:left w:val="none" w:sz="0" w:space="0" w:color="auto"/>
        <w:bottom w:val="none" w:sz="0" w:space="0" w:color="auto"/>
        <w:right w:val="none" w:sz="0" w:space="0" w:color="auto"/>
      </w:divBdr>
    </w:div>
    <w:div w:id="209920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1.xml" Id="rId26" /><Relationship Type="http://schemas.openxmlformats.org/officeDocument/2006/relationships/hyperlink" Target="http://www.sam.gov/" TargetMode="External" Id="rId21" /><Relationship Type="http://schemas.openxmlformats.org/officeDocument/2006/relationships/footer" Target="footer16.xml" Id="rId42" /><Relationship Type="http://schemas.openxmlformats.org/officeDocument/2006/relationships/header" Target="header21.xml" Id="rId47" /><Relationship Type="http://schemas.openxmlformats.org/officeDocument/2006/relationships/header" Target="header29.xml" Id="rId63" /><Relationship Type="http://schemas.openxmlformats.org/officeDocument/2006/relationships/theme" Target="theme/theme1.xml" Id="rId68"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header" Target="header7.xml" Id="rId16" /><Relationship Type="http://schemas.openxmlformats.org/officeDocument/2006/relationships/header" Target="header13.xml" Id="rId29" /><Relationship Type="http://schemas.openxmlformats.org/officeDocument/2006/relationships/header" Target="header4.xml" Id="rId11" /><Relationship Type="http://schemas.openxmlformats.org/officeDocument/2006/relationships/footer" Target="footer7.xml" Id="rId24" /><Relationship Type="http://schemas.openxmlformats.org/officeDocument/2006/relationships/header" Target="header14.xml" Id="rId32" /><Relationship Type="http://schemas.openxmlformats.org/officeDocument/2006/relationships/footer" Target="footer14.xml" Id="rId37" /><Relationship Type="http://schemas.openxmlformats.org/officeDocument/2006/relationships/header" Target="header18.xml" Id="rId40" /><Relationship Type="http://schemas.openxmlformats.org/officeDocument/2006/relationships/footer" Target="footer18.xml" Id="rId45" /><Relationship Type="http://schemas.openxmlformats.org/officeDocument/2006/relationships/header" Target="header24.xml" Id="rId53" /><Relationship Type="http://schemas.openxmlformats.org/officeDocument/2006/relationships/footer" Target="footer24.xml" Id="rId58" /><Relationship Type="http://schemas.openxmlformats.org/officeDocument/2006/relationships/footer" Target="footer28.xml" Id="rId66" /><Relationship Type="http://schemas.openxmlformats.org/officeDocument/2006/relationships/footnotes" Target="footnotes.xml" Id="rId5" /><Relationship Type="http://schemas.openxmlformats.org/officeDocument/2006/relationships/footer" Target="footer25.xml" Id="rId61" /><Relationship Type="http://schemas.openxmlformats.org/officeDocument/2006/relationships/header" Target="header8.xml" Id="rId19" /><Relationship Type="http://schemas.openxmlformats.org/officeDocument/2006/relationships/footer" Target="footer3.xml" Id="rId14" /><Relationship Type="http://schemas.openxmlformats.org/officeDocument/2006/relationships/header" Target="header9.xml" Id="rId22" /><Relationship Type="http://schemas.openxmlformats.org/officeDocument/2006/relationships/footer" Target="footer9.xml" Id="rId27" /><Relationship Type="http://schemas.openxmlformats.org/officeDocument/2006/relationships/footer" Target="footer10.xml" Id="rId30" /><Relationship Type="http://schemas.openxmlformats.org/officeDocument/2006/relationships/header" Target="header16.xml" Id="rId35" /><Relationship Type="http://schemas.openxmlformats.org/officeDocument/2006/relationships/footer" Target="footer17.xml" Id="rId43" /><Relationship Type="http://schemas.openxmlformats.org/officeDocument/2006/relationships/header" Target="header22.xml" Id="rId48" /><Relationship Type="http://schemas.openxmlformats.org/officeDocument/2006/relationships/footer" Target="footer23.xml" Id="rId56" /><Relationship Type="http://schemas.openxmlformats.org/officeDocument/2006/relationships/footer" Target="footer27.xml" Id="rId64" /><Relationship Type="http://schemas.openxmlformats.org/officeDocument/2006/relationships/footer" Target="footer1.xml" Id="rId8" /><Relationship Type="http://schemas.openxmlformats.org/officeDocument/2006/relationships/header" Target="header23.xml" Id="rId51" /><Relationship Type="http://schemas.openxmlformats.org/officeDocument/2006/relationships/settings" Target="settings.xml" Id="rId3" /><Relationship Type="http://schemas.openxmlformats.org/officeDocument/2006/relationships/footer" Target="footer2.xml" Id="rId12" /><Relationship Type="http://schemas.openxmlformats.org/officeDocument/2006/relationships/footer" Target="footer4.xml" Id="rId17" /><Relationship Type="http://schemas.openxmlformats.org/officeDocument/2006/relationships/footer" Target="footer8.xml" Id="rId25" /><Relationship Type="http://schemas.openxmlformats.org/officeDocument/2006/relationships/footer" Target="footer12.xml" Id="rId33" /><Relationship Type="http://schemas.openxmlformats.org/officeDocument/2006/relationships/header" Target="header17.xml" Id="rId38" /><Relationship Type="http://schemas.openxmlformats.org/officeDocument/2006/relationships/hyperlink" Target="mailto:G2GPCERG@southernco.com" TargetMode="External" Id="rId46" /><Relationship Type="http://schemas.openxmlformats.org/officeDocument/2006/relationships/header" Target="header27.xml" Id="rId59" /><Relationship Type="http://schemas.openxmlformats.org/officeDocument/2006/relationships/fontTable" Target="fontTable.xml" Id="rId67" /><Relationship Type="http://schemas.openxmlformats.org/officeDocument/2006/relationships/footer" Target="footer6.xml" Id="rId20" /><Relationship Type="http://schemas.openxmlformats.org/officeDocument/2006/relationships/header" Target="header19.xml" Id="rId41" /><Relationship Type="http://schemas.openxmlformats.org/officeDocument/2006/relationships/header" Target="header25.xml" Id="rId54" /><Relationship Type="http://schemas.openxmlformats.org/officeDocument/2006/relationships/footer" Target="footer26.xml" Id="rId6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6.xml" Id="rId15" /><Relationship Type="http://schemas.openxmlformats.org/officeDocument/2006/relationships/header" Target="header10.xml" Id="rId23" /><Relationship Type="http://schemas.openxmlformats.org/officeDocument/2006/relationships/header" Target="header12.xml" Id="rId28" /><Relationship Type="http://schemas.openxmlformats.org/officeDocument/2006/relationships/footer" Target="footer13.xml" Id="rId36" /><Relationship Type="http://schemas.openxmlformats.org/officeDocument/2006/relationships/footer" Target="footer19.xml" Id="rId49" /><Relationship Type="http://schemas.openxmlformats.org/officeDocument/2006/relationships/header" Target="header26.xml" Id="rId57" /><Relationship Type="http://schemas.openxmlformats.org/officeDocument/2006/relationships/header" Target="header3.xml" Id="rId10" /><Relationship Type="http://schemas.openxmlformats.org/officeDocument/2006/relationships/footer" Target="footer11.xml" Id="rId31" /><Relationship Type="http://schemas.openxmlformats.org/officeDocument/2006/relationships/header" Target="header20.xml" Id="rId44" /><Relationship Type="http://schemas.openxmlformats.org/officeDocument/2006/relationships/footer" Target="footer21.xml" Id="rId52" /><Relationship Type="http://schemas.openxmlformats.org/officeDocument/2006/relationships/header" Target="header28.xml" Id="rId60" /><Relationship Type="http://schemas.openxmlformats.org/officeDocument/2006/relationships/header" Target="header30.xml" Id="rId65"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header" Target="header5.xml" Id="rId13" /><Relationship Type="http://schemas.openxmlformats.org/officeDocument/2006/relationships/footer" Target="footer5.xml" Id="rId18" /><Relationship Type="http://schemas.openxmlformats.org/officeDocument/2006/relationships/footer" Target="footer15.xml" Id="rId39" /><Relationship Type="http://schemas.openxmlformats.org/officeDocument/2006/relationships/header" Target="header15.xml" Id="rId34" /><Relationship Type="http://schemas.openxmlformats.org/officeDocument/2006/relationships/footer" Target="footer20.xml" Id="rId50" /><Relationship Type="http://schemas.openxmlformats.org/officeDocument/2006/relationships/footer" Target="footer22.xml" Id="rId5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HLinks>
    <vt:vector baseType="variant" size="828">
      <vt:variant>
        <vt:i4>4325428</vt:i4>
      </vt:variant>
      <vt:variant>
        <vt:i4>822</vt:i4>
      </vt:variant>
      <vt:variant>
        <vt:i4>0</vt:i4>
      </vt:variant>
      <vt:variant>
        <vt:i4>5</vt:i4>
      </vt:variant>
      <vt:variant>
        <vt:lpwstr>mailto:G2GPCERG@southernco.com</vt:lpwstr>
      </vt:variant>
      <vt:variant>
        <vt:lpwstr/>
      </vt:variant>
      <vt:variant>
        <vt:i4>2359408</vt:i4>
      </vt:variant>
      <vt:variant>
        <vt:i4>819</vt:i4>
      </vt:variant>
      <vt:variant>
        <vt:i4>0</vt:i4>
      </vt:variant>
      <vt:variant>
        <vt:i4>5</vt:i4>
      </vt:variant>
      <vt:variant>
        <vt:lpwstr>http://www.sam.gov/</vt:lpwstr>
      </vt:variant>
      <vt:variant>
        <vt:lpwstr/>
      </vt:variant>
      <vt:variant>
        <vt:i4>1048634</vt:i4>
      </vt:variant>
      <vt:variant>
        <vt:i4>812</vt:i4>
      </vt:variant>
      <vt:variant>
        <vt:i4>0</vt:i4>
      </vt:variant>
      <vt:variant>
        <vt:i4>5</vt:i4>
      </vt:variant>
      <vt:variant>
        <vt:lpwstr/>
      </vt:variant>
      <vt:variant>
        <vt:lpwstr>_Toc214644841</vt:lpwstr>
      </vt:variant>
      <vt:variant>
        <vt:i4>1048634</vt:i4>
      </vt:variant>
      <vt:variant>
        <vt:i4>806</vt:i4>
      </vt:variant>
      <vt:variant>
        <vt:i4>0</vt:i4>
      </vt:variant>
      <vt:variant>
        <vt:i4>5</vt:i4>
      </vt:variant>
      <vt:variant>
        <vt:lpwstr/>
      </vt:variant>
      <vt:variant>
        <vt:lpwstr>_Toc214644840</vt:lpwstr>
      </vt:variant>
      <vt:variant>
        <vt:i4>1507386</vt:i4>
      </vt:variant>
      <vt:variant>
        <vt:i4>800</vt:i4>
      </vt:variant>
      <vt:variant>
        <vt:i4>0</vt:i4>
      </vt:variant>
      <vt:variant>
        <vt:i4>5</vt:i4>
      </vt:variant>
      <vt:variant>
        <vt:lpwstr/>
      </vt:variant>
      <vt:variant>
        <vt:lpwstr>_Toc214644839</vt:lpwstr>
      </vt:variant>
      <vt:variant>
        <vt:i4>1507386</vt:i4>
      </vt:variant>
      <vt:variant>
        <vt:i4>794</vt:i4>
      </vt:variant>
      <vt:variant>
        <vt:i4>0</vt:i4>
      </vt:variant>
      <vt:variant>
        <vt:i4>5</vt:i4>
      </vt:variant>
      <vt:variant>
        <vt:lpwstr/>
      </vt:variant>
      <vt:variant>
        <vt:lpwstr>_Toc214644838</vt:lpwstr>
      </vt:variant>
      <vt:variant>
        <vt:i4>1507386</vt:i4>
      </vt:variant>
      <vt:variant>
        <vt:i4>788</vt:i4>
      </vt:variant>
      <vt:variant>
        <vt:i4>0</vt:i4>
      </vt:variant>
      <vt:variant>
        <vt:i4>5</vt:i4>
      </vt:variant>
      <vt:variant>
        <vt:lpwstr/>
      </vt:variant>
      <vt:variant>
        <vt:lpwstr>_Toc214644837</vt:lpwstr>
      </vt:variant>
      <vt:variant>
        <vt:i4>1507386</vt:i4>
      </vt:variant>
      <vt:variant>
        <vt:i4>782</vt:i4>
      </vt:variant>
      <vt:variant>
        <vt:i4>0</vt:i4>
      </vt:variant>
      <vt:variant>
        <vt:i4>5</vt:i4>
      </vt:variant>
      <vt:variant>
        <vt:lpwstr/>
      </vt:variant>
      <vt:variant>
        <vt:lpwstr>_Toc214644836</vt:lpwstr>
      </vt:variant>
      <vt:variant>
        <vt:i4>1507386</vt:i4>
      </vt:variant>
      <vt:variant>
        <vt:i4>776</vt:i4>
      </vt:variant>
      <vt:variant>
        <vt:i4>0</vt:i4>
      </vt:variant>
      <vt:variant>
        <vt:i4>5</vt:i4>
      </vt:variant>
      <vt:variant>
        <vt:lpwstr/>
      </vt:variant>
      <vt:variant>
        <vt:lpwstr>_Toc214644835</vt:lpwstr>
      </vt:variant>
      <vt:variant>
        <vt:i4>1507386</vt:i4>
      </vt:variant>
      <vt:variant>
        <vt:i4>770</vt:i4>
      </vt:variant>
      <vt:variant>
        <vt:i4>0</vt:i4>
      </vt:variant>
      <vt:variant>
        <vt:i4>5</vt:i4>
      </vt:variant>
      <vt:variant>
        <vt:lpwstr/>
      </vt:variant>
      <vt:variant>
        <vt:lpwstr>_Toc214644834</vt:lpwstr>
      </vt:variant>
      <vt:variant>
        <vt:i4>1507386</vt:i4>
      </vt:variant>
      <vt:variant>
        <vt:i4>764</vt:i4>
      </vt:variant>
      <vt:variant>
        <vt:i4>0</vt:i4>
      </vt:variant>
      <vt:variant>
        <vt:i4>5</vt:i4>
      </vt:variant>
      <vt:variant>
        <vt:lpwstr/>
      </vt:variant>
      <vt:variant>
        <vt:lpwstr>_Toc214644833</vt:lpwstr>
      </vt:variant>
      <vt:variant>
        <vt:i4>1507386</vt:i4>
      </vt:variant>
      <vt:variant>
        <vt:i4>758</vt:i4>
      </vt:variant>
      <vt:variant>
        <vt:i4>0</vt:i4>
      </vt:variant>
      <vt:variant>
        <vt:i4>5</vt:i4>
      </vt:variant>
      <vt:variant>
        <vt:lpwstr/>
      </vt:variant>
      <vt:variant>
        <vt:lpwstr>_Toc214644832</vt:lpwstr>
      </vt:variant>
      <vt:variant>
        <vt:i4>1507386</vt:i4>
      </vt:variant>
      <vt:variant>
        <vt:i4>752</vt:i4>
      </vt:variant>
      <vt:variant>
        <vt:i4>0</vt:i4>
      </vt:variant>
      <vt:variant>
        <vt:i4>5</vt:i4>
      </vt:variant>
      <vt:variant>
        <vt:lpwstr/>
      </vt:variant>
      <vt:variant>
        <vt:lpwstr>_Toc214644831</vt:lpwstr>
      </vt:variant>
      <vt:variant>
        <vt:i4>1507386</vt:i4>
      </vt:variant>
      <vt:variant>
        <vt:i4>746</vt:i4>
      </vt:variant>
      <vt:variant>
        <vt:i4>0</vt:i4>
      </vt:variant>
      <vt:variant>
        <vt:i4>5</vt:i4>
      </vt:variant>
      <vt:variant>
        <vt:lpwstr/>
      </vt:variant>
      <vt:variant>
        <vt:lpwstr>_Toc214644830</vt:lpwstr>
      </vt:variant>
      <vt:variant>
        <vt:i4>1441850</vt:i4>
      </vt:variant>
      <vt:variant>
        <vt:i4>740</vt:i4>
      </vt:variant>
      <vt:variant>
        <vt:i4>0</vt:i4>
      </vt:variant>
      <vt:variant>
        <vt:i4>5</vt:i4>
      </vt:variant>
      <vt:variant>
        <vt:lpwstr/>
      </vt:variant>
      <vt:variant>
        <vt:lpwstr>_Toc214644829</vt:lpwstr>
      </vt:variant>
      <vt:variant>
        <vt:i4>1441850</vt:i4>
      </vt:variant>
      <vt:variant>
        <vt:i4>734</vt:i4>
      </vt:variant>
      <vt:variant>
        <vt:i4>0</vt:i4>
      </vt:variant>
      <vt:variant>
        <vt:i4>5</vt:i4>
      </vt:variant>
      <vt:variant>
        <vt:lpwstr/>
      </vt:variant>
      <vt:variant>
        <vt:lpwstr>_Toc214644828</vt:lpwstr>
      </vt:variant>
      <vt:variant>
        <vt:i4>1441850</vt:i4>
      </vt:variant>
      <vt:variant>
        <vt:i4>728</vt:i4>
      </vt:variant>
      <vt:variant>
        <vt:i4>0</vt:i4>
      </vt:variant>
      <vt:variant>
        <vt:i4>5</vt:i4>
      </vt:variant>
      <vt:variant>
        <vt:lpwstr/>
      </vt:variant>
      <vt:variant>
        <vt:lpwstr>_Toc214644827</vt:lpwstr>
      </vt:variant>
      <vt:variant>
        <vt:i4>1441850</vt:i4>
      </vt:variant>
      <vt:variant>
        <vt:i4>722</vt:i4>
      </vt:variant>
      <vt:variant>
        <vt:i4>0</vt:i4>
      </vt:variant>
      <vt:variant>
        <vt:i4>5</vt:i4>
      </vt:variant>
      <vt:variant>
        <vt:lpwstr/>
      </vt:variant>
      <vt:variant>
        <vt:lpwstr>_Toc214644826</vt:lpwstr>
      </vt:variant>
      <vt:variant>
        <vt:i4>1441850</vt:i4>
      </vt:variant>
      <vt:variant>
        <vt:i4>716</vt:i4>
      </vt:variant>
      <vt:variant>
        <vt:i4>0</vt:i4>
      </vt:variant>
      <vt:variant>
        <vt:i4>5</vt:i4>
      </vt:variant>
      <vt:variant>
        <vt:lpwstr/>
      </vt:variant>
      <vt:variant>
        <vt:lpwstr>_Toc214644825</vt:lpwstr>
      </vt:variant>
      <vt:variant>
        <vt:i4>1441850</vt:i4>
      </vt:variant>
      <vt:variant>
        <vt:i4>710</vt:i4>
      </vt:variant>
      <vt:variant>
        <vt:i4>0</vt:i4>
      </vt:variant>
      <vt:variant>
        <vt:i4>5</vt:i4>
      </vt:variant>
      <vt:variant>
        <vt:lpwstr/>
      </vt:variant>
      <vt:variant>
        <vt:lpwstr>_Toc214644824</vt:lpwstr>
      </vt:variant>
      <vt:variant>
        <vt:i4>1441850</vt:i4>
      </vt:variant>
      <vt:variant>
        <vt:i4>704</vt:i4>
      </vt:variant>
      <vt:variant>
        <vt:i4>0</vt:i4>
      </vt:variant>
      <vt:variant>
        <vt:i4>5</vt:i4>
      </vt:variant>
      <vt:variant>
        <vt:lpwstr/>
      </vt:variant>
      <vt:variant>
        <vt:lpwstr>_Toc214644823</vt:lpwstr>
      </vt:variant>
      <vt:variant>
        <vt:i4>1441850</vt:i4>
      </vt:variant>
      <vt:variant>
        <vt:i4>698</vt:i4>
      </vt:variant>
      <vt:variant>
        <vt:i4>0</vt:i4>
      </vt:variant>
      <vt:variant>
        <vt:i4>5</vt:i4>
      </vt:variant>
      <vt:variant>
        <vt:lpwstr/>
      </vt:variant>
      <vt:variant>
        <vt:lpwstr>_Toc214644822</vt:lpwstr>
      </vt:variant>
      <vt:variant>
        <vt:i4>1441850</vt:i4>
      </vt:variant>
      <vt:variant>
        <vt:i4>692</vt:i4>
      </vt:variant>
      <vt:variant>
        <vt:i4>0</vt:i4>
      </vt:variant>
      <vt:variant>
        <vt:i4>5</vt:i4>
      </vt:variant>
      <vt:variant>
        <vt:lpwstr/>
      </vt:variant>
      <vt:variant>
        <vt:lpwstr>_Toc214644821</vt:lpwstr>
      </vt:variant>
      <vt:variant>
        <vt:i4>1441850</vt:i4>
      </vt:variant>
      <vt:variant>
        <vt:i4>686</vt:i4>
      </vt:variant>
      <vt:variant>
        <vt:i4>0</vt:i4>
      </vt:variant>
      <vt:variant>
        <vt:i4>5</vt:i4>
      </vt:variant>
      <vt:variant>
        <vt:lpwstr/>
      </vt:variant>
      <vt:variant>
        <vt:lpwstr>_Toc214644820</vt:lpwstr>
      </vt:variant>
      <vt:variant>
        <vt:i4>1376314</vt:i4>
      </vt:variant>
      <vt:variant>
        <vt:i4>680</vt:i4>
      </vt:variant>
      <vt:variant>
        <vt:i4>0</vt:i4>
      </vt:variant>
      <vt:variant>
        <vt:i4>5</vt:i4>
      </vt:variant>
      <vt:variant>
        <vt:lpwstr/>
      </vt:variant>
      <vt:variant>
        <vt:lpwstr>_Toc214644819</vt:lpwstr>
      </vt:variant>
      <vt:variant>
        <vt:i4>1376314</vt:i4>
      </vt:variant>
      <vt:variant>
        <vt:i4>674</vt:i4>
      </vt:variant>
      <vt:variant>
        <vt:i4>0</vt:i4>
      </vt:variant>
      <vt:variant>
        <vt:i4>5</vt:i4>
      </vt:variant>
      <vt:variant>
        <vt:lpwstr/>
      </vt:variant>
      <vt:variant>
        <vt:lpwstr>_Toc214644818</vt:lpwstr>
      </vt:variant>
      <vt:variant>
        <vt:i4>1376314</vt:i4>
      </vt:variant>
      <vt:variant>
        <vt:i4>668</vt:i4>
      </vt:variant>
      <vt:variant>
        <vt:i4>0</vt:i4>
      </vt:variant>
      <vt:variant>
        <vt:i4>5</vt:i4>
      </vt:variant>
      <vt:variant>
        <vt:lpwstr/>
      </vt:variant>
      <vt:variant>
        <vt:lpwstr>_Toc214644817</vt:lpwstr>
      </vt:variant>
      <vt:variant>
        <vt:i4>1376314</vt:i4>
      </vt:variant>
      <vt:variant>
        <vt:i4>662</vt:i4>
      </vt:variant>
      <vt:variant>
        <vt:i4>0</vt:i4>
      </vt:variant>
      <vt:variant>
        <vt:i4>5</vt:i4>
      </vt:variant>
      <vt:variant>
        <vt:lpwstr/>
      </vt:variant>
      <vt:variant>
        <vt:lpwstr>_Toc214644816</vt:lpwstr>
      </vt:variant>
      <vt:variant>
        <vt:i4>1376314</vt:i4>
      </vt:variant>
      <vt:variant>
        <vt:i4>656</vt:i4>
      </vt:variant>
      <vt:variant>
        <vt:i4>0</vt:i4>
      </vt:variant>
      <vt:variant>
        <vt:i4>5</vt:i4>
      </vt:variant>
      <vt:variant>
        <vt:lpwstr/>
      </vt:variant>
      <vt:variant>
        <vt:lpwstr>_Toc214644815</vt:lpwstr>
      </vt:variant>
      <vt:variant>
        <vt:i4>1376314</vt:i4>
      </vt:variant>
      <vt:variant>
        <vt:i4>650</vt:i4>
      </vt:variant>
      <vt:variant>
        <vt:i4>0</vt:i4>
      </vt:variant>
      <vt:variant>
        <vt:i4>5</vt:i4>
      </vt:variant>
      <vt:variant>
        <vt:lpwstr/>
      </vt:variant>
      <vt:variant>
        <vt:lpwstr>_Toc214644814</vt:lpwstr>
      </vt:variant>
      <vt:variant>
        <vt:i4>1376314</vt:i4>
      </vt:variant>
      <vt:variant>
        <vt:i4>644</vt:i4>
      </vt:variant>
      <vt:variant>
        <vt:i4>0</vt:i4>
      </vt:variant>
      <vt:variant>
        <vt:i4>5</vt:i4>
      </vt:variant>
      <vt:variant>
        <vt:lpwstr/>
      </vt:variant>
      <vt:variant>
        <vt:lpwstr>_Toc214644813</vt:lpwstr>
      </vt:variant>
      <vt:variant>
        <vt:i4>1376314</vt:i4>
      </vt:variant>
      <vt:variant>
        <vt:i4>638</vt:i4>
      </vt:variant>
      <vt:variant>
        <vt:i4>0</vt:i4>
      </vt:variant>
      <vt:variant>
        <vt:i4>5</vt:i4>
      </vt:variant>
      <vt:variant>
        <vt:lpwstr/>
      </vt:variant>
      <vt:variant>
        <vt:lpwstr>_Toc214644812</vt:lpwstr>
      </vt:variant>
      <vt:variant>
        <vt:i4>1376314</vt:i4>
      </vt:variant>
      <vt:variant>
        <vt:i4>632</vt:i4>
      </vt:variant>
      <vt:variant>
        <vt:i4>0</vt:i4>
      </vt:variant>
      <vt:variant>
        <vt:i4>5</vt:i4>
      </vt:variant>
      <vt:variant>
        <vt:lpwstr/>
      </vt:variant>
      <vt:variant>
        <vt:lpwstr>_Toc214644811</vt:lpwstr>
      </vt:variant>
      <vt:variant>
        <vt:i4>1376314</vt:i4>
      </vt:variant>
      <vt:variant>
        <vt:i4>626</vt:i4>
      </vt:variant>
      <vt:variant>
        <vt:i4>0</vt:i4>
      </vt:variant>
      <vt:variant>
        <vt:i4>5</vt:i4>
      </vt:variant>
      <vt:variant>
        <vt:lpwstr/>
      </vt:variant>
      <vt:variant>
        <vt:lpwstr>_Toc214644810</vt:lpwstr>
      </vt:variant>
      <vt:variant>
        <vt:i4>1310778</vt:i4>
      </vt:variant>
      <vt:variant>
        <vt:i4>620</vt:i4>
      </vt:variant>
      <vt:variant>
        <vt:i4>0</vt:i4>
      </vt:variant>
      <vt:variant>
        <vt:i4>5</vt:i4>
      </vt:variant>
      <vt:variant>
        <vt:lpwstr/>
      </vt:variant>
      <vt:variant>
        <vt:lpwstr>_Toc214644809</vt:lpwstr>
      </vt:variant>
      <vt:variant>
        <vt:i4>1310778</vt:i4>
      </vt:variant>
      <vt:variant>
        <vt:i4>614</vt:i4>
      </vt:variant>
      <vt:variant>
        <vt:i4>0</vt:i4>
      </vt:variant>
      <vt:variant>
        <vt:i4>5</vt:i4>
      </vt:variant>
      <vt:variant>
        <vt:lpwstr/>
      </vt:variant>
      <vt:variant>
        <vt:lpwstr>_Toc214644808</vt:lpwstr>
      </vt:variant>
      <vt:variant>
        <vt:i4>1310778</vt:i4>
      </vt:variant>
      <vt:variant>
        <vt:i4>608</vt:i4>
      </vt:variant>
      <vt:variant>
        <vt:i4>0</vt:i4>
      </vt:variant>
      <vt:variant>
        <vt:i4>5</vt:i4>
      </vt:variant>
      <vt:variant>
        <vt:lpwstr/>
      </vt:variant>
      <vt:variant>
        <vt:lpwstr>_Toc214644807</vt:lpwstr>
      </vt:variant>
      <vt:variant>
        <vt:i4>1310778</vt:i4>
      </vt:variant>
      <vt:variant>
        <vt:i4>602</vt:i4>
      </vt:variant>
      <vt:variant>
        <vt:i4>0</vt:i4>
      </vt:variant>
      <vt:variant>
        <vt:i4>5</vt:i4>
      </vt:variant>
      <vt:variant>
        <vt:lpwstr/>
      </vt:variant>
      <vt:variant>
        <vt:lpwstr>_Toc214644806</vt:lpwstr>
      </vt:variant>
      <vt:variant>
        <vt:i4>1310778</vt:i4>
      </vt:variant>
      <vt:variant>
        <vt:i4>596</vt:i4>
      </vt:variant>
      <vt:variant>
        <vt:i4>0</vt:i4>
      </vt:variant>
      <vt:variant>
        <vt:i4>5</vt:i4>
      </vt:variant>
      <vt:variant>
        <vt:lpwstr/>
      </vt:variant>
      <vt:variant>
        <vt:lpwstr>_Toc214644805</vt:lpwstr>
      </vt:variant>
      <vt:variant>
        <vt:i4>1310778</vt:i4>
      </vt:variant>
      <vt:variant>
        <vt:i4>590</vt:i4>
      </vt:variant>
      <vt:variant>
        <vt:i4>0</vt:i4>
      </vt:variant>
      <vt:variant>
        <vt:i4>5</vt:i4>
      </vt:variant>
      <vt:variant>
        <vt:lpwstr/>
      </vt:variant>
      <vt:variant>
        <vt:lpwstr>_Toc214644804</vt:lpwstr>
      </vt:variant>
      <vt:variant>
        <vt:i4>1310778</vt:i4>
      </vt:variant>
      <vt:variant>
        <vt:i4>584</vt:i4>
      </vt:variant>
      <vt:variant>
        <vt:i4>0</vt:i4>
      </vt:variant>
      <vt:variant>
        <vt:i4>5</vt:i4>
      </vt:variant>
      <vt:variant>
        <vt:lpwstr/>
      </vt:variant>
      <vt:variant>
        <vt:lpwstr>_Toc214644803</vt:lpwstr>
      </vt:variant>
      <vt:variant>
        <vt:i4>1310778</vt:i4>
      </vt:variant>
      <vt:variant>
        <vt:i4>578</vt:i4>
      </vt:variant>
      <vt:variant>
        <vt:i4>0</vt:i4>
      </vt:variant>
      <vt:variant>
        <vt:i4>5</vt:i4>
      </vt:variant>
      <vt:variant>
        <vt:lpwstr/>
      </vt:variant>
      <vt:variant>
        <vt:lpwstr>_Toc214644802</vt:lpwstr>
      </vt:variant>
      <vt:variant>
        <vt:i4>1310778</vt:i4>
      </vt:variant>
      <vt:variant>
        <vt:i4>572</vt:i4>
      </vt:variant>
      <vt:variant>
        <vt:i4>0</vt:i4>
      </vt:variant>
      <vt:variant>
        <vt:i4>5</vt:i4>
      </vt:variant>
      <vt:variant>
        <vt:lpwstr/>
      </vt:variant>
      <vt:variant>
        <vt:lpwstr>_Toc214644801</vt:lpwstr>
      </vt:variant>
      <vt:variant>
        <vt:i4>1310778</vt:i4>
      </vt:variant>
      <vt:variant>
        <vt:i4>566</vt:i4>
      </vt:variant>
      <vt:variant>
        <vt:i4>0</vt:i4>
      </vt:variant>
      <vt:variant>
        <vt:i4>5</vt:i4>
      </vt:variant>
      <vt:variant>
        <vt:lpwstr/>
      </vt:variant>
      <vt:variant>
        <vt:lpwstr>_Toc214644800</vt:lpwstr>
      </vt:variant>
      <vt:variant>
        <vt:i4>1900597</vt:i4>
      </vt:variant>
      <vt:variant>
        <vt:i4>560</vt:i4>
      </vt:variant>
      <vt:variant>
        <vt:i4>0</vt:i4>
      </vt:variant>
      <vt:variant>
        <vt:i4>5</vt:i4>
      </vt:variant>
      <vt:variant>
        <vt:lpwstr/>
      </vt:variant>
      <vt:variant>
        <vt:lpwstr>_Toc214644799</vt:lpwstr>
      </vt:variant>
      <vt:variant>
        <vt:i4>1900597</vt:i4>
      </vt:variant>
      <vt:variant>
        <vt:i4>554</vt:i4>
      </vt:variant>
      <vt:variant>
        <vt:i4>0</vt:i4>
      </vt:variant>
      <vt:variant>
        <vt:i4>5</vt:i4>
      </vt:variant>
      <vt:variant>
        <vt:lpwstr/>
      </vt:variant>
      <vt:variant>
        <vt:lpwstr>_Toc214644798</vt:lpwstr>
      </vt:variant>
      <vt:variant>
        <vt:i4>1900597</vt:i4>
      </vt:variant>
      <vt:variant>
        <vt:i4>548</vt:i4>
      </vt:variant>
      <vt:variant>
        <vt:i4>0</vt:i4>
      </vt:variant>
      <vt:variant>
        <vt:i4>5</vt:i4>
      </vt:variant>
      <vt:variant>
        <vt:lpwstr/>
      </vt:variant>
      <vt:variant>
        <vt:lpwstr>_Toc214644797</vt:lpwstr>
      </vt:variant>
      <vt:variant>
        <vt:i4>1900597</vt:i4>
      </vt:variant>
      <vt:variant>
        <vt:i4>542</vt:i4>
      </vt:variant>
      <vt:variant>
        <vt:i4>0</vt:i4>
      </vt:variant>
      <vt:variant>
        <vt:i4>5</vt:i4>
      </vt:variant>
      <vt:variant>
        <vt:lpwstr/>
      </vt:variant>
      <vt:variant>
        <vt:lpwstr>_Toc214644796</vt:lpwstr>
      </vt:variant>
      <vt:variant>
        <vt:i4>1900597</vt:i4>
      </vt:variant>
      <vt:variant>
        <vt:i4>536</vt:i4>
      </vt:variant>
      <vt:variant>
        <vt:i4>0</vt:i4>
      </vt:variant>
      <vt:variant>
        <vt:i4>5</vt:i4>
      </vt:variant>
      <vt:variant>
        <vt:lpwstr/>
      </vt:variant>
      <vt:variant>
        <vt:lpwstr>_Toc214644795</vt:lpwstr>
      </vt:variant>
      <vt:variant>
        <vt:i4>1900597</vt:i4>
      </vt:variant>
      <vt:variant>
        <vt:i4>530</vt:i4>
      </vt:variant>
      <vt:variant>
        <vt:i4>0</vt:i4>
      </vt:variant>
      <vt:variant>
        <vt:i4>5</vt:i4>
      </vt:variant>
      <vt:variant>
        <vt:lpwstr/>
      </vt:variant>
      <vt:variant>
        <vt:lpwstr>_Toc214644794</vt:lpwstr>
      </vt:variant>
      <vt:variant>
        <vt:i4>1900597</vt:i4>
      </vt:variant>
      <vt:variant>
        <vt:i4>524</vt:i4>
      </vt:variant>
      <vt:variant>
        <vt:i4>0</vt:i4>
      </vt:variant>
      <vt:variant>
        <vt:i4>5</vt:i4>
      </vt:variant>
      <vt:variant>
        <vt:lpwstr/>
      </vt:variant>
      <vt:variant>
        <vt:lpwstr>_Toc214644793</vt:lpwstr>
      </vt:variant>
      <vt:variant>
        <vt:i4>1900597</vt:i4>
      </vt:variant>
      <vt:variant>
        <vt:i4>518</vt:i4>
      </vt:variant>
      <vt:variant>
        <vt:i4>0</vt:i4>
      </vt:variant>
      <vt:variant>
        <vt:i4>5</vt:i4>
      </vt:variant>
      <vt:variant>
        <vt:lpwstr/>
      </vt:variant>
      <vt:variant>
        <vt:lpwstr>_Toc214644792</vt:lpwstr>
      </vt:variant>
      <vt:variant>
        <vt:i4>1900597</vt:i4>
      </vt:variant>
      <vt:variant>
        <vt:i4>512</vt:i4>
      </vt:variant>
      <vt:variant>
        <vt:i4>0</vt:i4>
      </vt:variant>
      <vt:variant>
        <vt:i4>5</vt:i4>
      </vt:variant>
      <vt:variant>
        <vt:lpwstr/>
      </vt:variant>
      <vt:variant>
        <vt:lpwstr>_Toc214644791</vt:lpwstr>
      </vt:variant>
      <vt:variant>
        <vt:i4>1900597</vt:i4>
      </vt:variant>
      <vt:variant>
        <vt:i4>506</vt:i4>
      </vt:variant>
      <vt:variant>
        <vt:i4>0</vt:i4>
      </vt:variant>
      <vt:variant>
        <vt:i4>5</vt:i4>
      </vt:variant>
      <vt:variant>
        <vt:lpwstr/>
      </vt:variant>
      <vt:variant>
        <vt:lpwstr>_Toc214644790</vt:lpwstr>
      </vt:variant>
      <vt:variant>
        <vt:i4>1835061</vt:i4>
      </vt:variant>
      <vt:variant>
        <vt:i4>500</vt:i4>
      </vt:variant>
      <vt:variant>
        <vt:i4>0</vt:i4>
      </vt:variant>
      <vt:variant>
        <vt:i4>5</vt:i4>
      </vt:variant>
      <vt:variant>
        <vt:lpwstr/>
      </vt:variant>
      <vt:variant>
        <vt:lpwstr>_Toc214644789</vt:lpwstr>
      </vt:variant>
      <vt:variant>
        <vt:i4>1835061</vt:i4>
      </vt:variant>
      <vt:variant>
        <vt:i4>494</vt:i4>
      </vt:variant>
      <vt:variant>
        <vt:i4>0</vt:i4>
      </vt:variant>
      <vt:variant>
        <vt:i4>5</vt:i4>
      </vt:variant>
      <vt:variant>
        <vt:lpwstr/>
      </vt:variant>
      <vt:variant>
        <vt:lpwstr>_Toc214644788</vt:lpwstr>
      </vt:variant>
      <vt:variant>
        <vt:i4>1835061</vt:i4>
      </vt:variant>
      <vt:variant>
        <vt:i4>488</vt:i4>
      </vt:variant>
      <vt:variant>
        <vt:i4>0</vt:i4>
      </vt:variant>
      <vt:variant>
        <vt:i4>5</vt:i4>
      </vt:variant>
      <vt:variant>
        <vt:lpwstr/>
      </vt:variant>
      <vt:variant>
        <vt:lpwstr>_Toc214644787</vt:lpwstr>
      </vt:variant>
      <vt:variant>
        <vt:i4>1835061</vt:i4>
      </vt:variant>
      <vt:variant>
        <vt:i4>482</vt:i4>
      </vt:variant>
      <vt:variant>
        <vt:i4>0</vt:i4>
      </vt:variant>
      <vt:variant>
        <vt:i4>5</vt:i4>
      </vt:variant>
      <vt:variant>
        <vt:lpwstr/>
      </vt:variant>
      <vt:variant>
        <vt:lpwstr>_Toc214644786</vt:lpwstr>
      </vt:variant>
      <vt:variant>
        <vt:i4>1835061</vt:i4>
      </vt:variant>
      <vt:variant>
        <vt:i4>476</vt:i4>
      </vt:variant>
      <vt:variant>
        <vt:i4>0</vt:i4>
      </vt:variant>
      <vt:variant>
        <vt:i4>5</vt:i4>
      </vt:variant>
      <vt:variant>
        <vt:lpwstr/>
      </vt:variant>
      <vt:variant>
        <vt:lpwstr>_Toc214644785</vt:lpwstr>
      </vt:variant>
      <vt:variant>
        <vt:i4>1835061</vt:i4>
      </vt:variant>
      <vt:variant>
        <vt:i4>470</vt:i4>
      </vt:variant>
      <vt:variant>
        <vt:i4>0</vt:i4>
      </vt:variant>
      <vt:variant>
        <vt:i4>5</vt:i4>
      </vt:variant>
      <vt:variant>
        <vt:lpwstr/>
      </vt:variant>
      <vt:variant>
        <vt:lpwstr>_Toc214644784</vt:lpwstr>
      </vt:variant>
      <vt:variant>
        <vt:i4>1835061</vt:i4>
      </vt:variant>
      <vt:variant>
        <vt:i4>464</vt:i4>
      </vt:variant>
      <vt:variant>
        <vt:i4>0</vt:i4>
      </vt:variant>
      <vt:variant>
        <vt:i4>5</vt:i4>
      </vt:variant>
      <vt:variant>
        <vt:lpwstr/>
      </vt:variant>
      <vt:variant>
        <vt:lpwstr>_Toc214644783</vt:lpwstr>
      </vt:variant>
      <vt:variant>
        <vt:i4>1835061</vt:i4>
      </vt:variant>
      <vt:variant>
        <vt:i4>458</vt:i4>
      </vt:variant>
      <vt:variant>
        <vt:i4>0</vt:i4>
      </vt:variant>
      <vt:variant>
        <vt:i4>5</vt:i4>
      </vt:variant>
      <vt:variant>
        <vt:lpwstr/>
      </vt:variant>
      <vt:variant>
        <vt:lpwstr>_Toc214644782</vt:lpwstr>
      </vt:variant>
      <vt:variant>
        <vt:i4>1835061</vt:i4>
      </vt:variant>
      <vt:variant>
        <vt:i4>452</vt:i4>
      </vt:variant>
      <vt:variant>
        <vt:i4>0</vt:i4>
      </vt:variant>
      <vt:variant>
        <vt:i4>5</vt:i4>
      </vt:variant>
      <vt:variant>
        <vt:lpwstr/>
      </vt:variant>
      <vt:variant>
        <vt:lpwstr>_Toc214644781</vt:lpwstr>
      </vt:variant>
      <vt:variant>
        <vt:i4>1835061</vt:i4>
      </vt:variant>
      <vt:variant>
        <vt:i4>446</vt:i4>
      </vt:variant>
      <vt:variant>
        <vt:i4>0</vt:i4>
      </vt:variant>
      <vt:variant>
        <vt:i4>5</vt:i4>
      </vt:variant>
      <vt:variant>
        <vt:lpwstr/>
      </vt:variant>
      <vt:variant>
        <vt:lpwstr>_Toc214644780</vt:lpwstr>
      </vt:variant>
      <vt:variant>
        <vt:i4>1245237</vt:i4>
      </vt:variant>
      <vt:variant>
        <vt:i4>440</vt:i4>
      </vt:variant>
      <vt:variant>
        <vt:i4>0</vt:i4>
      </vt:variant>
      <vt:variant>
        <vt:i4>5</vt:i4>
      </vt:variant>
      <vt:variant>
        <vt:lpwstr/>
      </vt:variant>
      <vt:variant>
        <vt:lpwstr>_Toc214644779</vt:lpwstr>
      </vt:variant>
      <vt:variant>
        <vt:i4>1245237</vt:i4>
      </vt:variant>
      <vt:variant>
        <vt:i4>434</vt:i4>
      </vt:variant>
      <vt:variant>
        <vt:i4>0</vt:i4>
      </vt:variant>
      <vt:variant>
        <vt:i4>5</vt:i4>
      </vt:variant>
      <vt:variant>
        <vt:lpwstr/>
      </vt:variant>
      <vt:variant>
        <vt:lpwstr>_Toc214644778</vt:lpwstr>
      </vt:variant>
      <vt:variant>
        <vt:i4>1245237</vt:i4>
      </vt:variant>
      <vt:variant>
        <vt:i4>428</vt:i4>
      </vt:variant>
      <vt:variant>
        <vt:i4>0</vt:i4>
      </vt:variant>
      <vt:variant>
        <vt:i4>5</vt:i4>
      </vt:variant>
      <vt:variant>
        <vt:lpwstr/>
      </vt:variant>
      <vt:variant>
        <vt:lpwstr>_Toc214644777</vt:lpwstr>
      </vt:variant>
      <vt:variant>
        <vt:i4>1245237</vt:i4>
      </vt:variant>
      <vt:variant>
        <vt:i4>422</vt:i4>
      </vt:variant>
      <vt:variant>
        <vt:i4>0</vt:i4>
      </vt:variant>
      <vt:variant>
        <vt:i4>5</vt:i4>
      </vt:variant>
      <vt:variant>
        <vt:lpwstr/>
      </vt:variant>
      <vt:variant>
        <vt:lpwstr>_Toc214644776</vt:lpwstr>
      </vt:variant>
      <vt:variant>
        <vt:i4>1245237</vt:i4>
      </vt:variant>
      <vt:variant>
        <vt:i4>416</vt:i4>
      </vt:variant>
      <vt:variant>
        <vt:i4>0</vt:i4>
      </vt:variant>
      <vt:variant>
        <vt:i4>5</vt:i4>
      </vt:variant>
      <vt:variant>
        <vt:lpwstr/>
      </vt:variant>
      <vt:variant>
        <vt:lpwstr>_Toc214644775</vt:lpwstr>
      </vt:variant>
      <vt:variant>
        <vt:i4>1245237</vt:i4>
      </vt:variant>
      <vt:variant>
        <vt:i4>410</vt:i4>
      </vt:variant>
      <vt:variant>
        <vt:i4>0</vt:i4>
      </vt:variant>
      <vt:variant>
        <vt:i4>5</vt:i4>
      </vt:variant>
      <vt:variant>
        <vt:lpwstr/>
      </vt:variant>
      <vt:variant>
        <vt:lpwstr>_Toc214644774</vt:lpwstr>
      </vt:variant>
      <vt:variant>
        <vt:i4>1245237</vt:i4>
      </vt:variant>
      <vt:variant>
        <vt:i4>404</vt:i4>
      </vt:variant>
      <vt:variant>
        <vt:i4>0</vt:i4>
      </vt:variant>
      <vt:variant>
        <vt:i4>5</vt:i4>
      </vt:variant>
      <vt:variant>
        <vt:lpwstr/>
      </vt:variant>
      <vt:variant>
        <vt:lpwstr>_Toc214644773</vt:lpwstr>
      </vt:variant>
      <vt:variant>
        <vt:i4>1245237</vt:i4>
      </vt:variant>
      <vt:variant>
        <vt:i4>398</vt:i4>
      </vt:variant>
      <vt:variant>
        <vt:i4>0</vt:i4>
      </vt:variant>
      <vt:variant>
        <vt:i4>5</vt:i4>
      </vt:variant>
      <vt:variant>
        <vt:lpwstr/>
      </vt:variant>
      <vt:variant>
        <vt:lpwstr>_Toc214644772</vt:lpwstr>
      </vt:variant>
      <vt:variant>
        <vt:i4>1245237</vt:i4>
      </vt:variant>
      <vt:variant>
        <vt:i4>392</vt:i4>
      </vt:variant>
      <vt:variant>
        <vt:i4>0</vt:i4>
      </vt:variant>
      <vt:variant>
        <vt:i4>5</vt:i4>
      </vt:variant>
      <vt:variant>
        <vt:lpwstr/>
      </vt:variant>
      <vt:variant>
        <vt:lpwstr>_Toc214644771</vt:lpwstr>
      </vt:variant>
      <vt:variant>
        <vt:i4>1245237</vt:i4>
      </vt:variant>
      <vt:variant>
        <vt:i4>386</vt:i4>
      </vt:variant>
      <vt:variant>
        <vt:i4>0</vt:i4>
      </vt:variant>
      <vt:variant>
        <vt:i4>5</vt:i4>
      </vt:variant>
      <vt:variant>
        <vt:lpwstr/>
      </vt:variant>
      <vt:variant>
        <vt:lpwstr>_Toc214644770</vt:lpwstr>
      </vt:variant>
      <vt:variant>
        <vt:i4>1179701</vt:i4>
      </vt:variant>
      <vt:variant>
        <vt:i4>380</vt:i4>
      </vt:variant>
      <vt:variant>
        <vt:i4>0</vt:i4>
      </vt:variant>
      <vt:variant>
        <vt:i4>5</vt:i4>
      </vt:variant>
      <vt:variant>
        <vt:lpwstr/>
      </vt:variant>
      <vt:variant>
        <vt:lpwstr>_Toc214644769</vt:lpwstr>
      </vt:variant>
      <vt:variant>
        <vt:i4>1179701</vt:i4>
      </vt:variant>
      <vt:variant>
        <vt:i4>374</vt:i4>
      </vt:variant>
      <vt:variant>
        <vt:i4>0</vt:i4>
      </vt:variant>
      <vt:variant>
        <vt:i4>5</vt:i4>
      </vt:variant>
      <vt:variant>
        <vt:lpwstr/>
      </vt:variant>
      <vt:variant>
        <vt:lpwstr>_Toc214644768</vt:lpwstr>
      </vt:variant>
      <vt:variant>
        <vt:i4>1179701</vt:i4>
      </vt:variant>
      <vt:variant>
        <vt:i4>368</vt:i4>
      </vt:variant>
      <vt:variant>
        <vt:i4>0</vt:i4>
      </vt:variant>
      <vt:variant>
        <vt:i4>5</vt:i4>
      </vt:variant>
      <vt:variant>
        <vt:lpwstr/>
      </vt:variant>
      <vt:variant>
        <vt:lpwstr>_Toc214644767</vt:lpwstr>
      </vt:variant>
      <vt:variant>
        <vt:i4>1179701</vt:i4>
      </vt:variant>
      <vt:variant>
        <vt:i4>362</vt:i4>
      </vt:variant>
      <vt:variant>
        <vt:i4>0</vt:i4>
      </vt:variant>
      <vt:variant>
        <vt:i4>5</vt:i4>
      </vt:variant>
      <vt:variant>
        <vt:lpwstr/>
      </vt:variant>
      <vt:variant>
        <vt:lpwstr>_Toc214644766</vt:lpwstr>
      </vt:variant>
      <vt:variant>
        <vt:i4>1179701</vt:i4>
      </vt:variant>
      <vt:variant>
        <vt:i4>356</vt:i4>
      </vt:variant>
      <vt:variant>
        <vt:i4>0</vt:i4>
      </vt:variant>
      <vt:variant>
        <vt:i4>5</vt:i4>
      </vt:variant>
      <vt:variant>
        <vt:lpwstr/>
      </vt:variant>
      <vt:variant>
        <vt:lpwstr>_Toc214644765</vt:lpwstr>
      </vt:variant>
      <vt:variant>
        <vt:i4>1179701</vt:i4>
      </vt:variant>
      <vt:variant>
        <vt:i4>350</vt:i4>
      </vt:variant>
      <vt:variant>
        <vt:i4>0</vt:i4>
      </vt:variant>
      <vt:variant>
        <vt:i4>5</vt:i4>
      </vt:variant>
      <vt:variant>
        <vt:lpwstr/>
      </vt:variant>
      <vt:variant>
        <vt:lpwstr>_Toc214644764</vt:lpwstr>
      </vt:variant>
      <vt:variant>
        <vt:i4>1179701</vt:i4>
      </vt:variant>
      <vt:variant>
        <vt:i4>344</vt:i4>
      </vt:variant>
      <vt:variant>
        <vt:i4>0</vt:i4>
      </vt:variant>
      <vt:variant>
        <vt:i4>5</vt:i4>
      </vt:variant>
      <vt:variant>
        <vt:lpwstr/>
      </vt:variant>
      <vt:variant>
        <vt:lpwstr>_Toc214644763</vt:lpwstr>
      </vt:variant>
      <vt:variant>
        <vt:i4>1179701</vt:i4>
      </vt:variant>
      <vt:variant>
        <vt:i4>338</vt:i4>
      </vt:variant>
      <vt:variant>
        <vt:i4>0</vt:i4>
      </vt:variant>
      <vt:variant>
        <vt:i4>5</vt:i4>
      </vt:variant>
      <vt:variant>
        <vt:lpwstr/>
      </vt:variant>
      <vt:variant>
        <vt:lpwstr>_Toc214644762</vt:lpwstr>
      </vt:variant>
      <vt:variant>
        <vt:i4>1179701</vt:i4>
      </vt:variant>
      <vt:variant>
        <vt:i4>332</vt:i4>
      </vt:variant>
      <vt:variant>
        <vt:i4>0</vt:i4>
      </vt:variant>
      <vt:variant>
        <vt:i4>5</vt:i4>
      </vt:variant>
      <vt:variant>
        <vt:lpwstr/>
      </vt:variant>
      <vt:variant>
        <vt:lpwstr>_Toc214644761</vt:lpwstr>
      </vt:variant>
      <vt:variant>
        <vt:i4>1179701</vt:i4>
      </vt:variant>
      <vt:variant>
        <vt:i4>326</vt:i4>
      </vt:variant>
      <vt:variant>
        <vt:i4>0</vt:i4>
      </vt:variant>
      <vt:variant>
        <vt:i4>5</vt:i4>
      </vt:variant>
      <vt:variant>
        <vt:lpwstr/>
      </vt:variant>
      <vt:variant>
        <vt:lpwstr>_Toc214644760</vt:lpwstr>
      </vt:variant>
      <vt:variant>
        <vt:i4>1114165</vt:i4>
      </vt:variant>
      <vt:variant>
        <vt:i4>320</vt:i4>
      </vt:variant>
      <vt:variant>
        <vt:i4>0</vt:i4>
      </vt:variant>
      <vt:variant>
        <vt:i4>5</vt:i4>
      </vt:variant>
      <vt:variant>
        <vt:lpwstr/>
      </vt:variant>
      <vt:variant>
        <vt:lpwstr>_Toc214644759</vt:lpwstr>
      </vt:variant>
      <vt:variant>
        <vt:i4>1114165</vt:i4>
      </vt:variant>
      <vt:variant>
        <vt:i4>314</vt:i4>
      </vt:variant>
      <vt:variant>
        <vt:i4>0</vt:i4>
      </vt:variant>
      <vt:variant>
        <vt:i4>5</vt:i4>
      </vt:variant>
      <vt:variant>
        <vt:lpwstr/>
      </vt:variant>
      <vt:variant>
        <vt:lpwstr>_Toc214644758</vt:lpwstr>
      </vt:variant>
      <vt:variant>
        <vt:i4>1114165</vt:i4>
      </vt:variant>
      <vt:variant>
        <vt:i4>308</vt:i4>
      </vt:variant>
      <vt:variant>
        <vt:i4>0</vt:i4>
      </vt:variant>
      <vt:variant>
        <vt:i4>5</vt:i4>
      </vt:variant>
      <vt:variant>
        <vt:lpwstr/>
      </vt:variant>
      <vt:variant>
        <vt:lpwstr>_Toc214644757</vt:lpwstr>
      </vt:variant>
      <vt:variant>
        <vt:i4>1114165</vt:i4>
      </vt:variant>
      <vt:variant>
        <vt:i4>302</vt:i4>
      </vt:variant>
      <vt:variant>
        <vt:i4>0</vt:i4>
      </vt:variant>
      <vt:variant>
        <vt:i4>5</vt:i4>
      </vt:variant>
      <vt:variant>
        <vt:lpwstr/>
      </vt:variant>
      <vt:variant>
        <vt:lpwstr>_Toc214644756</vt:lpwstr>
      </vt:variant>
      <vt:variant>
        <vt:i4>1114165</vt:i4>
      </vt:variant>
      <vt:variant>
        <vt:i4>296</vt:i4>
      </vt:variant>
      <vt:variant>
        <vt:i4>0</vt:i4>
      </vt:variant>
      <vt:variant>
        <vt:i4>5</vt:i4>
      </vt:variant>
      <vt:variant>
        <vt:lpwstr/>
      </vt:variant>
      <vt:variant>
        <vt:lpwstr>_Toc214644755</vt:lpwstr>
      </vt:variant>
      <vt:variant>
        <vt:i4>1114165</vt:i4>
      </vt:variant>
      <vt:variant>
        <vt:i4>290</vt:i4>
      </vt:variant>
      <vt:variant>
        <vt:i4>0</vt:i4>
      </vt:variant>
      <vt:variant>
        <vt:i4>5</vt:i4>
      </vt:variant>
      <vt:variant>
        <vt:lpwstr/>
      </vt:variant>
      <vt:variant>
        <vt:lpwstr>_Toc214644754</vt:lpwstr>
      </vt:variant>
      <vt:variant>
        <vt:i4>1114165</vt:i4>
      </vt:variant>
      <vt:variant>
        <vt:i4>284</vt:i4>
      </vt:variant>
      <vt:variant>
        <vt:i4>0</vt:i4>
      </vt:variant>
      <vt:variant>
        <vt:i4>5</vt:i4>
      </vt:variant>
      <vt:variant>
        <vt:lpwstr/>
      </vt:variant>
      <vt:variant>
        <vt:lpwstr>_Toc214644753</vt:lpwstr>
      </vt:variant>
      <vt:variant>
        <vt:i4>1114165</vt:i4>
      </vt:variant>
      <vt:variant>
        <vt:i4>278</vt:i4>
      </vt:variant>
      <vt:variant>
        <vt:i4>0</vt:i4>
      </vt:variant>
      <vt:variant>
        <vt:i4>5</vt:i4>
      </vt:variant>
      <vt:variant>
        <vt:lpwstr/>
      </vt:variant>
      <vt:variant>
        <vt:lpwstr>_Toc214644752</vt:lpwstr>
      </vt:variant>
      <vt:variant>
        <vt:i4>1114165</vt:i4>
      </vt:variant>
      <vt:variant>
        <vt:i4>272</vt:i4>
      </vt:variant>
      <vt:variant>
        <vt:i4>0</vt:i4>
      </vt:variant>
      <vt:variant>
        <vt:i4>5</vt:i4>
      </vt:variant>
      <vt:variant>
        <vt:lpwstr/>
      </vt:variant>
      <vt:variant>
        <vt:lpwstr>_Toc214644751</vt:lpwstr>
      </vt:variant>
      <vt:variant>
        <vt:i4>1114165</vt:i4>
      </vt:variant>
      <vt:variant>
        <vt:i4>266</vt:i4>
      </vt:variant>
      <vt:variant>
        <vt:i4>0</vt:i4>
      </vt:variant>
      <vt:variant>
        <vt:i4>5</vt:i4>
      </vt:variant>
      <vt:variant>
        <vt:lpwstr/>
      </vt:variant>
      <vt:variant>
        <vt:lpwstr>_Toc214644750</vt:lpwstr>
      </vt:variant>
      <vt:variant>
        <vt:i4>1048629</vt:i4>
      </vt:variant>
      <vt:variant>
        <vt:i4>260</vt:i4>
      </vt:variant>
      <vt:variant>
        <vt:i4>0</vt:i4>
      </vt:variant>
      <vt:variant>
        <vt:i4>5</vt:i4>
      </vt:variant>
      <vt:variant>
        <vt:lpwstr/>
      </vt:variant>
      <vt:variant>
        <vt:lpwstr>_Toc214644749</vt:lpwstr>
      </vt:variant>
      <vt:variant>
        <vt:i4>1048629</vt:i4>
      </vt:variant>
      <vt:variant>
        <vt:i4>254</vt:i4>
      </vt:variant>
      <vt:variant>
        <vt:i4>0</vt:i4>
      </vt:variant>
      <vt:variant>
        <vt:i4>5</vt:i4>
      </vt:variant>
      <vt:variant>
        <vt:lpwstr/>
      </vt:variant>
      <vt:variant>
        <vt:lpwstr>_Toc214644748</vt:lpwstr>
      </vt:variant>
      <vt:variant>
        <vt:i4>1048629</vt:i4>
      </vt:variant>
      <vt:variant>
        <vt:i4>248</vt:i4>
      </vt:variant>
      <vt:variant>
        <vt:i4>0</vt:i4>
      </vt:variant>
      <vt:variant>
        <vt:i4>5</vt:i4>
      </vt:variant>
      <vt:variant>
        <vt:lpwstr/>
      </vt:variant>
      <vt:variant>
        <vt:lpwstr>_Toc214644747</vt:lpwstr>
      </vt:variant>
      <vt:variant>
        <vt:i4>1048629</vt:i4>
      </vt:variant>
      <vt:variant>
        <vt:i4>242</vt:i4>
      </vt:variant>
      <vt:variant>
        <vt:i4>0</vt:i4>
      </vt:variant>
      <vt:variant>
        <vt:i4>5</vt:i4>
      </vt:variant>
      <vt:variant>
        <vt:lpwstr/>
      </vt:variant>
      <vt:variant>
        <vt:lpwstr>_Toc214644746</vt:lpwstr>
      </vt:variant>
      <vt:variant>
        <vt:i4>1048629</vt:i4>
      </vt:variant>
      <vt:variant>
        <vt:i4>236</vt:i4>
      </vt:variant>
      <vt:variant>
        <vt:i4>0</vt:i4>
      </vt:variant>
      <vt:variant>
        <vt:i4>5</vt:i4>
      </vt:variant>
      <vt:variant>
        <vt:lpwstr/>
      </vt:variant>
      <vt:variant>
        <vt:lpwstr>_Toc214644745</vt:lpwstr>
      </vt:variant>
      <vt:variant>
        <vt:i4>1048629</vt:i4>
      </vt:variant>
      <vt:variant>
        <vt:i4>230</vt:i4>
      </vt:variant>
      <vt:variant>
        <vt:i4>0</vt:i4>
      </vt:variant>
      <vt:variant>
        <vt:i4>5</vt:i4>
      </vt:variant>
      <vt:variant>
        <vt:lpwstr/>
      </vt:variant>
      <vt:variant>
        <vt:lpwstr>_Toc214644744</vt:lpwstr>
      </vt:variant>
      <vt:variant>
        <vt:i4>1048629</vt:i4>
      </vt:variant>
      <vt:variant>
        <vt:i4>224</vt:i4>
      </vt:variant>
      <vt:variant>
        <vt:i4>0</vt:i4>
      </vt:variant>
      <vt:variant>
        <vt:i4>5</vt:i4>
      </vt:variant>
      <vt:variant>
        <vt:lpwstr/>
      </vt:variant>
      <vt:variant>
        <vt:lpwstr>_Toc214644743</vt:lpwstr>
      </vt:variant>
      <vt:variant>
        <vt:i4>1048629</vt:i4>
      </vt:variant>
      <vt:variant>
        <vt:i4>218</vt:i4>
      </vt:variant>
      <vt:variant>
        <vt:i4>0</vt:i4>
      </vt:variant>
      <vt:variant>
        <vt:i4>5</vt:i4>
      </vt:variant>
      <vt:variant>
        <vt:lpwstr/>
      </vt:variant>
      <vt:variant>
        <vt:lpwstr>_Toc214644742</vt:lpwstr>
      </vt:variant>
      <vt:variant>
        <vt:i4>1048629</vt:i4>
      </vt:variant>
      <vt:variant>
        <vt:i4>212</vt:i4>
      </vt:variant>
      <vt:variant>
        <vt:i4>0</vt:i4>
      </vt:variant>
      <vt:variant>
        <vt:i4>5</vt:i4>
      </vt:variant>
      <vt:variant>
        <vt:lpwstr/>
      </vt:variant>
      <vt:variant>
        <vt:lpwstr>_Toc214644741</vt:lpwstr>
      </vt:variant>
      <vt:variant>
        <vt:i4>1048629</vt:i4>
      </vt:variant>
      <vt:variant>
        <vt:i4>206</vt:i4>
      </vt:variant>
      <vt:variant>
        <vt:i4>0</vt:i4>
      </vt:variant>
      <vt:variant>
        <vt:i4>5</vt:i4>
      </vt:variant>
      <vt:variant>
        <vt:lpwstr/>
      </vt:variant>
      <vt:variant>
        <vt:lpwstr>_Toc214644740</vt:lpwstr>
      </vt:variant>
      <vt:variant>
        <vt:i4>1507381</vt:i4>
      </vt:variant>
      <vt:variant>
        <vt:i4>200</vt:i4>
      </vt:variant>
      <vt:variant>
        <vt:i4>0</vt:i4>
      </vt:variant>
      <vt:variant>
        <vt:i4>5</vt:i4>
      </vt:variant>
      <vt:variant>
        <vt:lpwstr/>
      </vt:variant>
      <vt:variant>
        <vt:lpwstr>_Toc214644739</vt:lpwstr>
      </vt:variant>
      <vt:variant>
        <vt:i4>1507381</vt:i4>
      </vt:variant>
      <vt:variant>
        <vt:i4>194</vt:i4>
      </vt:variant>
      <vt:variant>
        <vt:i4>0</vt:i4>
      </vt:variant>
      <vt:variant>
        <vt:i4>5</vt:i4>
      </vt:variant>
      <vt:variant>
        <vt:lpwstr/>
      </vt:variant>
      <vt:variant>
        <vt:lpwstr>_Toc214644738</vt:lpwstr>
      </vt:variant>
      <vt:variant>
        <vt:i4>1507381</vt:i4>
      </vt:variant>
      <vt:variant>
        <vt:i4>188</vt:i4>
      </vt:variant>
      <vt:variant>
        <vt:i4>0</vt:i4>
      </vt:variant>
      <vt:variant>
        <vt:i4>5</vt:i4>
      </vt:variant>
      <vt:variant>
        <vt:lpwstr/>
      </vt:variant>
      <vt:variant>
        <vt:lpwstr>_Toc214644737</vt:lpwstr>
      </vt:variant>
      <vt:variant>
        <vt:i4>1507381</vt:i4>
      </vt:variant>
      <vt:variant>
        <vt:i4>182</vt:i4>
      </vt:variant>
      <vt:variant>
        <vt:i4>0</vt:i4>
      </vt:variant>
      <vt:variant>
        <vt:i4>5</vt:i4>
      </vt:variant>
      <vt:variant>
        <vt:lpwstr/>
      </vt:variant>
      <vt:variant>
        <vt:lpwstr>_Toc214644736</vt:lpwstr>
      </vt:variant>
      <vt:variant>
        <vt:i4>1507381</vt:i4>
      </vt:variant>
      <vt:variant>
        <vt:i4>176</vt:i4>
      </vt:variant>
      <vt:variant>
        <vt:i4>0</vt:i4>
      </vt:variant>
      <vt:variant>
        <vt:i4>5</vt:i4>
      </vt:variant>
      <vt:variant>
        <vt:lpwstr/>
      </vt:variant>
      <vt:variant>
        <vt:lpwstr>_Toc214644735</vt:lpwstr>
      </vt:variant>
      <vt:variant>
        <vt:i4>1507381</vt:i4>
      </vt:variant>
      <vt:variant>
        <vt:i4>170</vt:i4>
      </vt:variant>
      <vt:variant>
        <vt:i4>0</vt:i4>
      </vt:variant>
      <vt:variant>
        <vt:i4>5</vt:i4>
      </vt:variant>
      <vt:variant>
        <vt:lpwstr/>
      </vt:variant>
      <vt:variant>
        <vt:lpwstr>_Toc214644734</vt:lpwstr>
      </vt:variant>
      <vt:variant>
        <vt:i4>1507381</vt:i4>
      </vt:variant>
      <vt:variant>
        <vt:i4>164</vt:i4>
      </vt:variant>
      <vt:variant>
        <vt:i4>0</vt:i4>
      </vt:variant>
      <vt:variant>
        <vt:i4>5</vt:i4>
      </vt:variant>
      <vt:variant>
        <vt:lpwstr/>
      </vt:variant>
      <vt:variant>
        <vt:lpwstr>_Toc214644733</vt:lpwstr>
      </vt:variant>
      <vt:variant>
        <vt:i4>1507381</vt:i4>
      </vt:variant>
      <vt:variant>
        <vt:i4>158</vt:i4>
      </vt:variant>
      <vt:variant>
        <vt:i4>0</vt:i4>
      </vt:variant>
      <vt:variant>
        <vt:i4>5</vt:i4>
      </vt:variant>
      <vt:variant>
        <vt:lpwstr/>
      </vt:variant>
      <vt:variant>
        <vt:lpwstr>_Toc214644732</vt:lpwstr>
      </vt:variant>
      <vt:variant>
        <vt:i4>1507381</vt:i4>
      </vt:variant>
      <vt:variant>
        <vt:i4>152</vt:i4>
      </vt:variant>
      <vt:variant>
        <vt:i4>0</vt:i4>
      </vt:variant>
      <vt:variant>
        <vt:i4>5</vt:i4>
      </vt:variant>
      <vt:variant>
        <vt:lpwstr/>
      </vt:variant>
      <vt:variant>
        <vt:lpwstr>_Toc214644731</vt:lpwstr>
      </vt:variant>
      <vt:variant>
        <vt:i4>1507381</vt:i4>
      </vt:variant>
      <vt:variant>
        <vt:i4>146</vt:i4>
      </vt:variant>
      <vt:variant>
        <vt:i4>0</vt:i4>
      </vt:variant>
      <vt:variant>
        <vt:i4>5</vt:i4>
      </vt:variant>
      <vt:variant>
        <vt:lpwstr/>
      </vt:variant>
      <vt:variant>
        <vt:lpwstr>_Toc214644730</vt:lpwstr>
      </vt:variant>
      <vt:variant>
        <vt:i4>1441845</vt:i4>
      </vt:variant>
      <vt:variant>
        <vt:i4>140</vt:i4>
      </vt:variant>
      <vt:variant>
        <vt:i4>0</vt:i4>
      </vt:variant>
      <vt:variant>
        <vt:i4>5</vt:i4>
      </vt:variant>
      <vt:variant>
        <vt:lpwstr/>
      </vt:variant>
      <vt:variant>
        <vt:lpwstr>_Toc214644729</vt:lpwstr>
      </vt:variant>
      <vt:variant>
        <vt:i4>1441845</vt:i4>
      </vt:variant>
      <vt:variant>
        <vt:i4>134</vt:i4>
      </vt:variant>
      <vt:variant>
        <vt:i4>0</vt:i4>
      </vt:variant>
      <vt:variant>
        <vt:i4>5</vt:i4>
      </vt:variant>
      <vt:variant>
        <vt:lpwstr/>
      </vt:variant>
      <vt:variant>
        <vt:lpwstr>_Toc214644728</vt:lpwstr>
      </vt:variant>
      <vt:variant>
        <vt:i4>1441845</vt:i4>
      </vt:variant>
      <vt:variant>
        <vt:i4>128</vt:i4>
      </vt:variant>
      <vt:variant>
        <vt:i4>0</vt:i4>
      </vt:variant>
      <vt:variant>
        <vt:i4>5</vt:i4>
      </vt:variant>
      <vt:variant>
        <vt:lpwstr/>
      </vt:variant>
      <vt:variant>
        <vt:lpwstr>_Toc214644727</vt:lpwstr>
      </vt:variant>
      <vt:variant>
        <vt:i4>1441845</vt:i4>
      </vt:variant>
      <vt:variant>
        <vt:i4>122</vt:i4>
      </vt:variant>
      <vt:variant>
        <vt:i4>0</vt:i4>
      </vt:variant>
      <vt:variant>
        <vt:i4>5</vt:i4>
      </vt:variant>
      <vt:variant>
        <vt:lpwstr/>
      </vt:variant>
      <vt:variant>
        <vt:lpwstr>_Toc214644726</vt:lpwstr>
      </vt:variant>
      <vt:variant>
        <vt:i4>1441845</vt:i4>
      </vt:variant>
      <vt:variant>
        <vt:i4>116</vt:i4>
      </vt:variant>
      <vt:variant>
        <vt:i4>0</vt:i4>
      </vt:variant>
      <vt:variant>
        <vt:i4>5</vt:i4>
      </vt:variant>
      <vt:variant>
        <vt:lpwstr/>
      </vt:variant>
      <vt:variant>
        <vt:lpwstr>_Toc214644725</vt:lpwstr>
      </vt:variant>
      <vt:variant>
        <vt:i4>1441845</vt:i4>
      </vt:variant>
      <vt:variant>
        <vt:i4>110</vt:i4>
      </vt:variant>
      <vt:variant>
        <vt:i4>0</vt:i4>
      </vt:variant>
      <vt:variant>
        <vt:i4>5</vt:i4>
      </vt:variant>
      <vt:variant>
        <vt:lpwstr/>
      </vt:variant>
      <vt:variant>
        <vt:lpwstr>_Toc214644724</vt:lpwstr>
      </vt:variant>
      <vt:variant>
        <vt:i4>1441845</vt:i4>
      </vt:variant>
      <vt:variant>
        <vt:i4>104</vt:i4>
      </vt:variant>
      <vt:variant>
        <vt:i4>0</vt:i4>
      </vt:variant>
      <vt:variant>
        <vt:i4>5</vt:i4>
      </vt:variant>
      <vt:variant>
        <vt:lpwstr/>
      </vt:variant>
      <vt:variant>
        <vt:lpwstr>_Toc214644723</vt:lpwstr>
      </vt:variant>
      <vt:variant>
        <vt:i4>1441845</vt:i4>
      </vt:variant>
      <vt:variant>
        <vt:i4>98</vt:i4>
      </vt:variant>
      <vt:variant>
        <vt:i4>0</vt:i4>
      </vt:variant>
      <vt:variant>
        <vt:i4>5</vt:i4>
      </vt:variant>
      <vt:variant>
        <vt:lpwstr/>
      </vt:variant>
      <vt:variant>
        <vt:lpwstr>_Toc214644722</vt:lpwstr>
      </vt:variant>
      <vt:variant>
        <vt:i4>1441845</vt:i4>
      </vt:variant>
      <vt:variant>
        <vt:i4>92</vt:i4>
      </vt:variant>
      <vt:variant>
        <vt:i4>0</vt:i4>
      </vt:variant>
      <vt:variant>
        <vt:i4>5</vt:i4>
      </vt:variant>
      <vt:variant>
        <vt:lpwstr/>
      </vt:variant>
      <vt:variant>
        <vt:lpwstr>_Toc214644721</vt:lpwstr>
      </vt:variant>
      <vt:variant>
        <vt:i4>1441845</vt:i4>
      </vt:variant>
      <vt:variant>
        <vt:i4>86</vt:i4>
      </vt:variant>
      <vt:variant>
        <vt:i4>0</vt:i4>
      </vt:variant>
      <vt:variant>
        <vt:i4>5</vt:i4>
      </vt:variant>
      <vt:variant>
        <vt:lpwstr/>
      </vt:variant>
      <vt:variant>
        <vt:lpwstr>_Toc214644720</vt:lpwstr>
      </vt:variant>
      <vt:variant>
        <vt:i4>1376309</vt:i4>
      </vt:variant>
      <vt:variant>
        <vt:i4>80</vt:i4>
      </vt:variant>
      <vt:variant>
        <vt:i4>0</vt:i4>
      </vt:variant>
      <vt:variant>
        <vt:i4>5</vt:i4>
      </vt:variant>
      <vt:variant>
        <vt:lpwstr/>
      </vt:variant>
      <vt:variant>
        <vt:lpwstr>_Toc214644719</vt:lpwstr>
      </vt:variant>
      <vt:variant>
        <vt:i4>1376309</vt:i4>
      </vt:variant>
      <vt:variant>
        <vt:i4>74</vt:i4>
      </vt:variant>
      <vt:variant>
        <vt:i4>0</vt:i4>
      </vt:variant>
      <vt:variant>
        <vt:i4>5</vt:i4>
      </vt:variant>
      <vt:variant>
        <vt:lpwstr/>
      </vt:variant>
      <vt:variant>
        <vt:lpwstr>_Toc214644718</vt:lpwstr>
      </vt:variant>
      <vt:variant>
        <vt:i4>1376309</vt:i4>
      </vt:variant>
      <vt:variant>
        <vt:i4>68</vt:i4>
      </vt:variant>
      <vt:variant>
        <vt:i4>0</vt:i4>
      </vt:variant>
      <vt:variant>
        <vt:i4>5</vt:i4>
      </vt:variant>
      <vt:variant>
        <vt:lpwstr/>
      </vt:variant>
      <vt:variant>
        <vt:lpwstr>_Toc214644717</vt:lpwstr>
      </vt:variant>
      <vt:variant>
        <vt:i4>1376309</vt:i4>
      </vt:variant>
      <vt:variant>
        <vt:i4>62</vt:i4>
      </vt:variant>
      <vt:variant>
        <vt:i4>0</vt:i4>
      </vt:variant>
      <vt:variant>
        <vt:i4>5</vt:i4>
      </vt:variant>
      <vt:variant>
        <vt:lpwstr/>
      </vt:variant>
      <vt:variant>
        <vt:lpwstr>_Toc214644716</vt:lpwstr>
      </vt:variant>
      <vt:variant>
        <vt:i4>1376309</vt:i4>
      </vt:variant>
      <vt:variant>
        <vt:i4>56</vt:i4>
      </vt:variant>
      <vt:variant>
        <vt:i4>0</vt:i4>
      </vt:variant>
      <vt:variant>
        <vt:i4>5</vt:i4>
      </vt:variant>
      <vt:variant>
        <vt:lpwstr/>
      </vt:variant>
      <vt:variant>
        <vt:lpwstr>_Toc214644715</vt:lpwstr>
      </vt:variant>
      <vt:variant>
        <vt:i4>1376309</vt:i4>
      </vt:variant>
      <vt:variant>
        <vt:i4>50</vt:i4>
      </vt:variant>
      <vt:variant>
        <vt:i4>0</vt:i4>
      </vt:variant>
      <vt:variant>
        <vt:i4>5</vt:i4>
      </vt:variant>
      <vt:variant>
        <vt:lpwstr/>
      </vt:variant>
      <vt:variant>
        <vt:lpwstr>_Toc214644714</vt:lpwstr>
      </vt:variant>
      <vt:variant>
        <vt:i4>1376309</vt:i4>
      </vt:variant>
      <vt:variant>
        <vt:i4>44</vt:i4>
      </vt:variant>
      <vt:variant>
        <vt:i4>0</vt:i4>
      </vt:variant>
      <vt:variant>
        <vt:i4>5</vt:i4>
      </vt:variant>
      <vt:variant>
        <vt:lpwstr/>
      </vt:variant>
      <vt:variant>
        <vt:lpwstr>_Toc214644713</vt:lpwstr>
      </vt:variant>
      <vt:variant>
        <vt:i4>1376309</vt:i4>
      </vt:variant>
      <vt:variant>
        <vt:i4>38</vt:i4>
      </vt:variant>
      <vt:variant>
        <vt:i4>0</vt:i4>
      </vt:variant>
      <vt:variant>
        <vt:i4>5</vt:i4>
      </vt:variant>
      <vt:variant>
        <vt:lpwstr/>
      </vt:variant>
      <vt:variant>
        <vt:lpwstr>_Toc214644712</vt:lpwstr>
      </vt:variant>
      <vt:variant>
        <vt:i4>1376309</vt:i4>
      </vt:variant>
      <vt:variant>
        <vt:i4>32</vt:i4>
      </vt:variant>
      <vt:variant>
        <vt:i4>0</vt:i4>
      </vt:variant>
      <vt:variant>
        <vt:i4>5</vt:i4>
      </vt:variant>
      <vt:variant>
        <vt:lpwstr/>
      </vt:variant>
      <vt:variant>
        <vt:lpwstr>_Toc214644711</vt:lpwstr>
      </vt:variant>
      <vt:variant>
        <vt:i4>1376309</vt:i4>
      </vt:variant>
      <vt:variant>
        <vt:i4>26</vt:i4>
      </vt:variant>
      <vt:variant>
        <vt:i4>0</vt:i4>
      </vt:variant>
      <vt:variant>
        <vt:i4>5</vt:i4>
      </vt:variant>
      <vt:variant>
        <vt:lpwstr/>
      </vt:variant>
      <vt:variant>
        <vt:lpwstr>_Toc214644710</vt:lpwstr>
      </vt:variant>
      <vt:variant>
        <vt:i4>1310773</vt:i4>
      </vt:variant>
      <vt:variant>
        <vt:i4>20</vt:i4>
      </vt:variant>
      <vt:variant>
        <vt:i4>0</vt:i4>
      </vt:variant>
      <vt:variant>
        <vt:i4>5</vt:i4>
      </vt:variant>
      <vt:variant>
        <vt:lpwstr/>
      </vt:variant>
      <vt:variant>
        <vt:lpwstr>_Toc214644709</vt:lpwstr>
      </vt:variant>
      <vt:variant>
        <vt:i4>1310773</vt:i4>
      </vt:variant>
      <vt:variant>
        <vt:i4>14</vt:i4>
      </vt:variant>
      <vt:variant>
        <vt:i4>0</vt:i4>
      </vt:variant>
      <vt:variant>
        <vt:i4>5</vt:i4>
      </vt:variant>
      <vt:variant>
        <vt:lpwstr/>
      </vt:variant>
      <vt:variant>
        <vt:lpwstr>_Toc214644708</vt:lpwstr>
      </vt:variant>
      <vt:variant>
        <vt:i4>1310773</vt:i4>
      </vt:variant>
      <vt:variant>
        <vt:i4>8</vt:i4>
      </vt:variant>
      <vt:variant>
        <vt:i4>0</vt:i4>
      </vt:variant>
      <vt:variant>
        <vt:i4>5</vt:i4>
      </vt:variant>
      <vt:variant>
        <vt:lpwstr/>
      </vt:variant>
      <vt:variant>
        <vt:lpwstr>_Toc214644707</vt:lpwstr>
      </vt:variant>
      <vt:variant>
        <vt:i4>1310773</vt:i4>
      </vt:variant>
      <vt:variant>
        <vt:i4>2</vt:i4>
      </vt:variant>
      <vt:variant>
        <vt:i4>0</vt:i4>
      </vt:variant>
      <vt:variant>
        <vt:i4>5</vt:i4>
      </vt:variant>
      <vt:variant>
        <vt:lpwstr/>
      </vt:variant>
      <vt:variant>
        <vt:lpwstr>_Toc214644706</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op:property fmtid="{D5CDD505-2E9C-101B-9397-08002B2CF9AE}" pid="5" name="MSIP_Label_ed3826ce-7c18-471d-9596-93de5bae332e_Method">
    <vt:lpwstr>Standard</vt:lpwstr>
  </op:property>
  <op:property fmtid="{D5CDD505-2E9C-101B-9397-08002B2CF9AE}" pid="6" name="MSIP_Label_ed3826ce-7c18-471d-9596-93de5bae332e_SiteId">
    <vt:lpwstr>c0a02e2d-1186-410a-8895-0a4a252ebf17</vt:lpwstr>
  </op:property>
  <op:property fmtid="{D5CDD505-2E9C-101B-9397-08002B2CF9AE}" pid="7" name="MSIP_Label_ed3826ce-7c18-471d-9596-93de5bae332e_ActionId">
    <vt:lpwstr>5622159a-1c45-426f-9100-6d41a1742bbc</vt:lpwstr>
  </op:property>
  <op:property fmtid="{D5CDD505-2E9C-101B-9397-08002B2CF9AE}" pid="8" name="MSIP_Label_ed3826ce-7c18-471d-9596-93de5bae332e_Name">
    <vt:lpwstr>Internal</vt:lpwstr>
  </op:property>
  <op:property fmtid="{D5CDD505-2E9C-101B-9397-08002B2CF9AE}" pid="10" name="MSIP_Label_ed3826ce-7c18-471d-9596-93de5bae332e_ContentBits">
    <vt:lpwstr>0</vt:lpwstr>
  </op:property>
  <op:property fmtid="{D5CDD505-2E9C-101B-9397-08002B2CF9AE}" pid="12" name="MSIP_Label_ed3826ce-7c18-471d-9596-93de5bae332e_Enabled">
    <vt:lpwstr>true</vt:lpwstr>
  </op:property>
  <op:property fmtid="{D5CDD505-2E9C-101B-9397-08002B2CF9AE}" pid="13" name="MSIP_Label_ed3826ce-7c18-471d-9596-93de5bae332e_SetDate">
    <vt:lpwstr>2024-11-04T22:45:57Z</vt:lpwstr>
  </op:property>
</op:Properties>
</file>